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6C04" w14:textId="452902C6" w:rsidR="00197029" w:rsidRPr="00C323FC" w:rsidRDefault="00C4440F" w:rsidP="00F83384">
      <w:pPr>
        <w:spacing w:after="240" w:line="240" w:lineRule="auto"/>
        <w:jc w:val="center"/>
        <w:rPr>
          <w:rFonts w:ascii="Times New Roman" w:hAnsi="Times New Roman" w:cs="Times New Roman"/>
          <w:b/>
          <w:bCs/>
          <w:sz w:val="24"/>
          <w:szCs w:val="24"/>
        </w:rPr>
      </w:pPr>
      <w:r w:rsidRPr="00C323FC">
        <w:rPr>
          <w:rFonts w:ascii="Times New Roman" w:hAnsi="Times New Roman" w:cs="Times New Roman"/>
          <w:b/>
          <w:bCs/>
          <w:sz w:val="24"/>
          <w:szCs w:val="24"/>
        </w:rPr>
        <w:t xml:space="preserve">Exhibit </w:t>
      </w:r>
      <w:r w:rsidR="00C323FC" w:rsidRPr="00C323FC">
        <w:rPr>
          <w:rFonts w:ascii="Times New Roman" w:hAnsi="Times New Roman" w:cs="Times New Roman"/>
          <w:b/>
          <w:bCs/>
          <w:sz w:val="24"/>
          <w:szCs w:val="24"/>
        </w:rPr>
        <w:t>A</w:t>
      </w:r>
    </w:p>
    <w:p w14:paraId="36A124B3" w14:textId="099A128A" w:rsidR="00C4440F" w:rsidRPr="00C323FC" w:rsidRDefault="00C4440F" w:rsidP="00F83384">
      <w:pPr>
        <w:spacing w:after="240" w:line="240" w:lineRule="auto"/>
        <w:jc w:val="center"/>
        <w:rPr>
          <w:rFonts w:ascii="Times New Roman" w:hAnsi="Times New Roman" w:cs="Times New Roman"/>
          <w:b/>
          <w:bCs/>
          <w:sz w:val="24"/>
          <w:szCs w:val="24"/>
        </w:rPr>
      </w:pPr>
      <w:r w:rsidRPr="00C323FC">
        <w:rPr>
          <w:rFonts w:ascii="Times New Roman" w:hAnsi="Times New Roman" w:cs="Times New Roman"/>
          <w:b/>
          <w:bCs/>
          <w:sz w:val="24"/>
          <w:szCs w:val="24"/>
        </w:rPr>
        <w:t>Disclosures</w:t>
      </w:r>
      <w:r w:rsidR="00C323FC" w:rsidRPr="00C323FC">
        <w:rPr>
          <w:rFonts w:ascii="Times New Roman" w:hAnsi="Times New Roman" w:cs="Times New Roman"/>
          <w:b/>
          <w:bCs/>
          <w:sz w:val="24"/>
          <w:szCs w:val="24"/>
        </w:rPr>
        <w:t xml:space="preserve"> Required by Section C(8)(j)(</w:t>
      </w:r>
      <w:proofErr w:type="spellStart"/>
      <w:r w:rsidR="00C323FC" w:rsidRPr="00C323FC">
        <w:rPr>
          <w:rFonts w:ascii="Times New Roman" w:hAnsi="Times New Roman" w:cs="Times New Roman"/>
          <w:b/>
          <w:bCs/>
          <w:sz w:val="24"/>
          <w:szCs w:val="24"/>
        </w:rPr>
        <w:t>i</w:t>
      </w:r>
      <w:proofErr w:type="spellEnd"/>
      <w:r w:rsidR="00C323FC" w:rsidRPr="00C323FC">
        <w:rPr>
          <w:rFonts w:ascii="Times New Roman" w:hAnsi="Times New Roman" w:cs="Times New Roman"/>
          <w:b/>
          <w:bCs/>
          <w:sz w:val="24"/>
          <w:szCs w:val="24"/>
        </w:rPr>
        <w:t>-viii) of the Fund’s Procurement Policy</w:t>
      </w:r>
    </w:p>
    <w:p w14:paraId="5CD17600" w14:textId="6966A3C0" w:rsidR="00C774C6" w:rsidRPr="00C323FC" w:rsidRDefault="00C323FC" w:rsidP="00C323FC">
      <w:pPr>
        <w:spacing w:after="240" w:line="240" w:lineRule="auto"/>
        <w:jc w:val="both"/>
        <w:rPr>
          <w:rFonts w:ascii="Times New Roman" w:hAnsi="Times New Roman" w:cs="Times New Roman"/>
          <w:sz w:val="24"/>
          <w:szCs w:val="24"/>
        </w:rPr>
      </w:pPr>
      <w:r w:rsidRPr="00C323FC">
        <w:rPr>
          <w:rFonts w:ascii="Times New Roman" w:hAnsi="Times New Roman" w:cs="Times New Roman"/>
          <w:sz w:val="24"/>
          <w:szCs w:val="24"/>
        </w:rPr>
        <w:t>Respondents</w:t>
      </w:r>
      <w:r w:rsidR="00C774C6" w:rsidRPr="00C323FC">
        <w:rPr>
          <w:rFonts w:ascii="Times New Roman" w:hAnsi="Times New Roman" w:cs="Times New Roman"/>
          <w:sz w:val="24"/>
          <w:szCs w:val="24"/>
        </w:rPr>
        <w:t xml:space="preserve"> are required to provide complete disclosure of each of the following</w:t>
      </w:r>
      <w:r w:rsidRPr="00C323FC">
        <w:rPr>
          <w:rFonts w:ascii="Times New Roman" w:hAnsi="Times New Roman" w:cs="Times New Roman"/>
          <w:sz w:val="24"/>
          <w:szCs w:val="24"/>
        </w:rPr>
        <w:t xml:space="preserve">.  </w:t>
      </w:r>
      <w:r w:rsidRPr="00C323FC">
        <w:rPr>
          <w:rFonts w:ascii="Times New Roman" w:eastAsia="Times New Roman" w:hAnsi="Times New Roman" w:cs="Times New Roman"/>
          <w:sz w:val="24"/>
          <w:szCs w:val="24"/>
        </w:rPr>
        <w:t xml:space="preserve">For purposes of </w:t>
      </w:r>
      <w:r w:rsidRPr="00C323FC">
        <w:rPr>
          <w:rFonts w:ascii="Times New Roman" w:eastAsia="Times New Roman" w:hAnsi="Times New Roman" w:cs="Times New Roman"/>
          <w:sz w:val="24"/>
          <w:szCs w:val="24"/>
        </w:rPr>
        <w:t>these</w:t>
      </w:r>
      <w:r w:rsidRPr="00C323FC">
        <w:rPr>
          <w:rFonts w:ascii="Times New Roman" w:eastAsia="Times New Roman" w:hAnsi="Times New Roman" w:cs="Times New Roman"/>
          <w:sz w:val="24"/>
          <w:szCs w:val="24"/>
        </w:rPr>
        <w:t xml:space="preserve"> required disclosures, a prospective </w:t>
      </w:r>
      <w:r w:rsidRPr="00C323FC">
        <w:rPr>
          <w:rFonts w:ascii="Times New Roman" w:eastAsia="Times New Roman" w:hAnsi="Times New Roman" w:cs="Times New Roman"/>
          <w:sz w:val="24"/>
          <w:szCs w:val="24"/>
        </w:rPr>
        <w:t>i</w:t>
      </w:r>
      <w:r w:rsidRPr="00C323FC">
        <w:rPr>
          <w:rFonts w:ascii="Times New Roman" w:eastAsia="Times New Roman" w:hAnsi="Times New Roman" w:cs="Times New Roman"/>
          <w:sz w:val="24"/>
          <w:szCs w:val="24"/>
        </w:rPr>
        <w:t xml:space="preserve">nvestment </w:t>
      </w:r>
      <w:r w:rsidRPr="00C323FC">
        <w:rPr>
          <w:rFonts w:ascii="Times New Roman" w:eastAsia="Times New Roman" w:hAnsi="Times New Roman" w:cs="Times New Roman"/>
          <w:sz w:val="24"/>
          <w:szCs w:val="24"/>
        </w:rPr>
        <w:t>a</w:t>
      </w:r>
      <w:r w:rsidRPr="00C323FC">
        <w:rPr>
          <w:rFonts w:ascii="Times New Roman" w:eastAsia="Times New Roman" w:hAnsi="Times New Roman" w:cs="Times New Roman"/>
          <w:sz w:val="24"/>
          <w:szCs w:val="24"/>
        </w:rPr>
        <w:t xml:space="preserve">dviser must undertake an affirmative effort to determine the appropriate responses to the required disclosures as part of the </w:t>
      </w:r>
      <w:r w:rsidRPr="00C323FC">
        <w:rPr>
          <w:rFonts w:ascii="Times New Roman" w:eastAsia="Times New Roman" w:hAnsi="Times New Roman" w:cs="Times New Roman"/>
          <w:sz w:val="24"/>
          <w:szCs w:val="24"/>
        </w:rPr>
        <w:t>i</w:t>
      </w:r>
      <w:r w:rsidRPr="00C323FC">
        <w:rPr>
          <w:rFonts w:ascii="Times New Roman" w:eastAsia="Times New Roman" w:hAnsi="Times New Roman" w:cs="Times New Roman"/>
          <w:sz w:val="24"/>
          <w:szCs w:val="24"/>
        </w:rPr>
        <w:t xml:space="preserve">nvestment </w:t>
      </w:r>
      <w:r w:rsidRPr="00C323FC">
        <w:rPr>
          <w:rFonts w:ascii="Times New Roman" w:eastAsia="Times New Roman" w:hAnsi="Times New Roman" w:cs="Times New Roman"/>
          <w:sz w:val="24"/>
          <w:szCs w:val="24"/>
        </w:rPr>
        <w:t>a</w:t>
      </w:r>
      <w:r w:rsidRPr="00C323FC">
        <w:rPr>
          <w:rFonts w:ascii="Times New Roman" w:eastAsia="Times New Roman" w:hAnsi="Times New Roman" w:cs="Times New Roman"/>
          <w:sz w:val="24"/>
          <w:szCs w:val="24"/>
        </w:rPr>
        <w:t xml:space="preserve">dviser’s response to the RFP.  A response that the </w:t>
      </w:r>
      <w:r w:rsidRPr="00C323FC">
        <w:rPr>
          <w:rFonts w:ascii="Times New Roman" w:eastAsia="Times New Roman" w:hAnsi="Times New Roman" w:cs="Times New Roman"/>
          <w:sz w:val="24"/>
          <w:szCs w:val="24"/>
        </w:rPr>
        <w:t>i</w:t>
      </w:r>
      <w:r w:rsidRPr="00C323FC">
        <w:rPr>
          <w:rFonts w:ascii="Times New Roman" w:eastAsia="Times New Roman" w:hAnsi="Times New Roman" w:cs="Times New Roman"/>
          <w:sz w:val="24"/>
          <w:szCs w:val="24"/>
        </w:rPr>
        <w:t xml:space="preserve">nvestment </w:t>
      </w:r>
      <w:r w:rsidRPr="00C323FC">
        <w:rPr>
          <w:rFonts w:ascii="Times New Roman" w:eastAsia="Times New Roman" w:hAnsi="Times New Roman" w:cs="Times New Roman"/>
          <w:sz w:val="24"/>
          <w:szCs w:val="24"/>
        </w:rPr>
        <w:t>a</w:t>
      </w:r>
      <w:r w:rsidRPr="00C323FC">
        <w:rPr>
          <w:rFonts w:ascii="Times New Roman" w:eastAsia="Times New Roman" w:hAnsi="Times New Roman" w:cs="Times New Roman"/>
          <w:sz w:val="24"/>
          <w:szCs w:val="24"/>
        </w:rPr>
        <w:t xml:space="preserve">dviser has a “pay to play” or a political donation policy is not responsive.  The </w:t>
      </w:r>
      <w:r w:rsidRPr="00C323FC">
        <w:rPr>
          <w:rFonts w:ascii="Times New Roman" w:eastAsia="Times New Roman" w:hAnsi="Times New Roman" w:cs="Times New Roman"/>
          <w:sz w:val="24"/>
          <w:szCs w:val="24"/>
        </w:rPr>
        <w:t>i</w:t>
      </w:r>
      <w:r w:rsidRPr="00C323FC">
        <w:rPr>
          <w:rFonts w:ascii="Times New Roman" w:eastAsia="Times New Roman" w:hAnsi="Times New Roman" w:cs="Times New Roman"/>
          <w:sz w:val="24"/>
          <w:szCs w:val="24"/>
        </w:rPr>
        <w:t xml:space="preserve">nvestment </w:t>
      </w:r>
      <w:r w:rsidRPr="00C323FC">
        <w:rPr>
          <w:rFonts w:ascii="Times New Roman" w:eastAsia="Times New Roman" w:hAnsi="Times New Roman" w:cs="Times New Roman"/>
          <w:sz w:val="24"/>
          <w:szCs w:val="24"/>
        </w:rPr>
        <w:t>a</w:t>
      </w:r>
      <w:r w:rsidRPr="00C323FC">
        <w:rPr>
          <w:rFonts w:ascii="Times New Roman" w:eastAsia="Times New Roman" w:hAnsi="Times New Roman" w:cs="Times New Roman"/>
          <w:sz w:val="24"/>
          <w:szCs w:val="24"/>
        </w:rPr>
        <w:t>dviser is expected to inquire of each individual subject to these disclosures as to the individual’s answers.  The representations are considered material.</w:t>
      </w:r>
    </w:p>
    <w:p w14:paraId="54001467" w14:textId="2EEC4475" w:rsidR="00C4440F"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Pursuant to Section 113.14(c)(3) and (12) of the Illinois Pension Code, the method for charging and measuring fees</w:t>
      </w:r>
      <w:r w:rsidRPr="00C323FC">
        <w:rPr>
          <w:rFonts w:ascii="Times New Roman" w:eastAsia="Times New Roman" w:hAnsi="Times New Roman" w:cs="Times New Roman"/>
          <w:sz w:val="24"/>
          <w:szCs w:val="24"/>
        </w:rPr>
        <w:t>,</w:t>
      </w:r>
      <w:r w:rsidRPr="00C323FC">
        <w:rPr>
          <w:rFonts w:ascii="Times New Roman" w:hAnsi="Times New Roman" w:cs="Times New Roman"/>
          <w:sz w:val="24"/>
          <w:szCs w:val="24"/>
        </w:rPr>
        <w:t xml:space="preserve"> including disclosure of the direct and indirect fees, commissions, penalties, and other compensation, including reimbursement for expenses, that may be paid by or on behalf of the </w:t>
      </w:r>
      <w:r w:rsidR="00C323FC" w:rsidRPr="00C323FC">
        <w:rPr>
          <w:rFonts w:ascii="Times New Roman" w:hAnsi="Times New Roman" w:cs="Times New Roman"/>
          <w:sz w:val="24"/>
          <w:szCs w:val="24"/>
        </w:rPr>
        <w:t>i</w:t>
      </w:r>
      <w:r w:rsidRPr="00C323FC">
        <w:rPr>
          <w:rFonts w:ascii="Times New Roman" w:hAnsi="Times New Roman" w:cs="Times New Roman"/>
          <w:sz w:val="24"/>
          <w:szCs w:val="24"/>
        </w:rPr>
        <w:t xml:space="preserve">nvestment </w:t>
      </w:r>
      <w:r w:rsidR="00C323FC" w:rsidRPr="00C323FC">
        <w:rPr>
          <w:rFonts w:ascii="Times New Roman" w:hAnsi="Times New Roman" w:cs="Times New Roman"/>
          <w:sz w:val="24"/>
          <w:szCs w:val="24"/>
        </w:rPr>
        <w:t>adviser</w:t>
      </w:r>
      <w:r w:rsidRPr="00C323FC">
        <w:rPr>
          <w:rFonts w:ascii="Times New Roman" w:hAnsi="Times New Roman" w:cs="Times New Roman"/>
          <w:sz w:val="24"/>
          <w:szCs w:val="24"/>
        </w:rPr>
        <w:t xml:space="preserve"> in connection with the provision of Investment Services to the IPOPIF</w:t>
      </w:r>
      <w:r w:rsidR="00C323FC">
        <w:rPr>
          <w:rFonts w:ascii="Times New Roman" w:hAnsi="Times New Roman" w:cs="Times New Roman"/>
          <w:sz w:val="24"/>
          <w:szCs w:val="24"/>
        </w:rPr>
        <w:t>.</w:t>
      </w:r>
    </w:p>
    <w:p w14:paraId="390B0D94" w14:textId="6BBC20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727BE" w14:textId="2148C639" w:rsidR="00C4440F"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Pursuant to Section 113.14(c)(5) of the Illinois Pension Code, the names and addresses of: the </w:t>
      </w:r>
      <w:r w:rsidR="00C323FC" w:rsidRPr="00C323FC">
        <w:rPr>
          <w:rFonts w:ascii="Times New Roman" w:hAnsi="Times New Roman" w:cs="Times New Roman"/>
          <w:sz w:val="24"/>
          <w:szCs w:val="24"/>
        </w:rPr>
        <w:t>investment adviser</w:t>
      </w:r>
      <w:r w:rsidRPr="00C323FC">
        <w:rPr>
          <w:rFonts w:ascii="Times New Roman" w:hAnsi="Times New Roman" w:cs="Times New Roman"/>
          <w:sz w:val="24"/>
          <w:szCs w:val="24"/>
        </w:rPr>
        <w:t xml:space="preserve">; any entity that is a parent of, or owns a controlling interest in, the </w:t>
      </w:r>
      <w:r w:rsidR="00C323FC" w:rsidRPr="00C323FC">
        <w:rPr>
          <w:rFonts w:ascii="Times New Roman" w:hAnsi="Times New Roman" w:cs="Times New Roman"/>
          <w:sz w:val="24"/>
          <w:szCs w:val="24"/>
        </w:rPr>
        <w:t>investment adviser</w:t>
      </w:r>
      <w:r w:rsidRPr="00C323FC">
        <w:rPr>
          <w:rFonts w:ascii="Times New Roman" w:hAnsi="Times New Roman" w:cs="Times New Roman"/>
          <w:sz w:val="24"/>
          <w:szCs w:val="24"/>
        </w:rPr>
        <w:t xml:space="preserve">; any entity that is a subsidiary of, or in which a controlling interest is owned by, the </w:t>
      </w:r>
      <w:r w:rsidR="00C323FC" w:rsidRPr="00C323FC">
        <w:rPr>
          <w:rFonts w:ascii="Times New Roman" w:hAnsi="Times New Roman" w:cs="Times New Roman"/>
          <w:sz w:val="24"/>
          <w:szCs w:val="24"/>
        </w:rPr>
        <w:t>investment adviser</w:t>
      </w:r>
      <w:r w:rsidRPr="00C323FC">
        <w:rPr>
          <w:rFonts w:ascii="Times New Roman" w:hAnsi="Times New Roman" w:cs="Times New Roman"/>
          <w:sz w:val="24"/>
          <w:szCs w:val="24"/>
        </w:rPr>
        <w:t xml:space="preserve">; any persons who have an ownership or distributive income share in the </w:t>
      </w:r>
      <w:r w:rsidR="00C323FC" w:rsidRPr="00C323FC">
        <w:rPr>
          <w:rFonts w:ascii="Times New Roman" w:hAnsi="Times New Roman" w:cs="Times New Roman"/>
          <w:sz w:val="24"/>
          <w:szCs w:val="24"/>
        </w:rPr>
        <w:t xml:space="preserve">investment adviser </w:t>
      </w:r>
      <w:r w:rsidRPr="00C323FC">
        <w:rPr>
          <w:rFonts w:ascii="Times New Roman" w:hAnsi="Times New Roman" w:cs="Times New Roman"/>
          <w:sz w:val="24"/>
          <w:szCs w:val="24"/>
        </w:rPr>
        <w:t xml:space="preserve">that is in excess of 7.5%; or serves as an executive officer of the </w:t>
      </w:r>
      <w:r w:rsidR="00C323FC" w:rsidRPr="00C323FC">
        <w:rPr>
          <w:rFonts w:ascii="Times New Roman" w:hAnsi="Times New Roman" w:cs="Times New Roman"/>
          <w:sz w:val="24"/>
          <w:szCs w:val="24"/>
        </w:rPr>
        <w:t>investment adviser</w:t>
      </w:r>
      <w:r w:rsidRPr="00C323FC">
        <w:rPr>
          <w:rFonts w:ascii="Times New Roman" w:eastAsia="Times New Roman" w:hAnsi="Times New Roman" w:cs="Times New Roman"/>
          <w:sz w:val="24"/>
          <w:szCs w:val="24"/>
        </w:rPr>
        <w:t>.  An “executive officer” shall mean any president, director, vice-president in charge of a principal business unit, division, or function (such as investment management, marketing, or administration), and any other employee who performs a policy-making role, regardless of the title given to their position</w:t>
      </w:r>
      <w:r w:rsidR="00C323FC">
        <w:rPr>
          <w:rFonts w:ascii="Times New Roman" w:hAnsi="Times New Roman" w:cs="Times New Roman"/>
          <w:sz w:val="24"/>
          <w:szCs w:val="24"/>
        </w:rPr>
        <w:t>.</w:t>
      </w:r>
    </w:p>
    <w:p w14:paraId="4F74692C"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ADFD2E" w14:textId="3FF392B4" w:rsidR="00C4440F" w:rsidRPr="00C323FC"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A statement that contingent and placement fees are prohibited by Section 1-145 of the Illinois Pension Code</w:t>
      </w:r>
      <w:r w:rsidR="00C323FC">
        <w:rPr>
          <w:rFonts w:ascii="Times New Roman" w:eastAsia="Times New Roman" w:hAnsi="Times New Roman" w:cs="Times New Roman"/>
          <w:sz w:val="24"/>
          <w:szCs w:val="24"/>
        </w:rPr>
        <w:t>.</w:t>
      </w:r>
    </w:p>
    <w:p w14:paraId="6FD1DF8E"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F2ED4" w14:textId="617A4BD6" w:rsidR="00C4440F" w:rsidRPr="00C323FC"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lastRenderedPageBreak/>
        <w:t xml:space="preserve">Pursuant to Section 113.14(c)(6) of the Illinois Pension Code, </w:t>
      </w:r>
      <w:r w:rsidRPr="00C323FC">
        <w:rPr>
          <w:rFonts w:ascii="Times New Roman" w:eastAsia="Times New Roman" w:hAnsi="Times New Roman" w:cs="Times New Roman"/>
          <w:sz w:val="24"/>
          <w:szCs w:val="24"/>
        </w:rPr>
        <w:t>the</w:t>
      </w:r>
      <w:r w:rsidRPr="00C323FC">
        <w:rPr>
          <w:rFonts w:ascii="Times New Roman" w:hAnsi="Times New Roman" w:cs="Times New Roman"/>
          <w:sz w:val="24"/>
          <w:szCs w:val="24"/>
        </w:rPr>
        <w:t xml:space="preserve"> names and addresses of all subcontractors, if any, and the expected amount of money each will receive under the contract</w:t>
      </w:r>
      <w:r w:rsidR="00C323FC">
        <w:rPr>
          <w:rFonts w:ascii="Times New Roman" w:eastAsia="Times New Roman" w:hAnsi="Times New Roman" w:cs="Times New Roman"/>
          <w:sz w:val="24"/>
          <w:szCs w:val="24"/>
        </w:rPr>
        <w:t>.</w:t>
      </w:r>
    </w:p>
    <w:p w14:paraId="779ABB0D"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4025BA" w14:textId="77777777" w:rsidR="00620ECB" w:rsidRDefault="00C4440F"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hAnsi="Times New Roman" w:cs="Times New Roman"/>
          <w:sz w:val="24"/>
          <w:szCs w:val="24"/>
        </w:rPr>
        <w:t>Pursuant to Section 113.21 of the Illinois Pension Code, a disclosure of</w:t>
      </w:r>
      <w:r w:rsidR="00620ECB">
        <w:rPr>
          <w:rFonts w:ascii="Times New Roman" w:hAnsi="Times New Roman" w:cs="Times New Roman"/>
          <w:sz w:val="24"/>
          <w:szCs w:val="24"/>
        </w:rPr>
        <w:t>:</w:t>
      </w:r>
    </w:p>
    <w:p w14:paraId="1487F630" w14:textId="1B678972" w:rsidR="00620ECB" w:rsidRDefault="00C4440F"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the number of the </w:t>
      </w:r>
      <w:r w:rsidR="00C323FC" w:rsidRPr="00C323FC">
        <w:rPr>
          <w:rFonts w:ascii="Times New Roman" w:hAnsi="Times New Roman" w:cs="Times New Roman"/>
          <w:sz w:val="24"/>
          <w:szCs w:val="24"/>
        </w:rPr>
        <w:t>investment adviser</w:t>
      </w:r>
      <w:r w:rsidR="00C323FC" w:rsidRPr="00C323FC">
        <w:rPr>
          <w:rFonts w:ascii="Times New Roman" w:hAnsi="Times New Roman" w:cs="Times New Roman"/>
          <w:sz w:val="24"/>
          <w:szCs w:val="24"/>
        </w:rPr>
        <w:t xml:space="preserve">’s </w:t>
      </w:r>
      <w:r w:rsidRPr="00C323FC">
        <w:rPr>
          <w:rFonts w:ascii="Times New Roman" w:hAnsi="Times New Roman" w:cs="Times New Roman"/>
          <w:sz w:val="24"/>
          <w:szCs w:val="24"/>
        </w:rPr>
        <w:t xml:space="preserve">investment and senior staff and the percentage of that staff </w:t>
      </w:r>
      <w:r w:rsidR="00C323FC" w:rsidRPr="00C323FC">
        <w:rPr>
          <w:rFonts w:ascii="Times New Roman" w:hAnsi="Times New Roman" w:cs="Times New Roman"/>
          <w:sz w:val="24"/>
          <w:szCs w:val="24"/>
        </w:rPr>
        <w:t xml:space="preserve">who are a minority person, a </w:t>
      </w:r>
      <w:r w:rsidR="00C323FC" w:rsidRPr="00C323FC">
        <w:rPr>
          <w:rFonts w:ascii="Times New Roman" w:eastAsia="Times New Roman" w:hAnsi="Times New Roman" w:cs="Times New Roman"/>
          <w:sz w:val="24"/>
          <w:szCs w:val="24"/>
        </w:rPr>
        <w:t>women, a veteran</w:t>
      </w:r>
      <w:r w:rsidR="00C323FC" w:rsidRPr="00C323FC">
        <w:rPr>
          <w:rFonts w:ascii="Times New Roman" w:hAnsi="Times New Roman" w:cs="Times New Roman"/>
          <w:sz w:val="24"/>
          <w:szCs w:val="24"/>
        </w:rPr>
        <w:t>, or a person with a disabilit</w:t>
      </w:r>
      <w:r w:rsidR="00620ECB">
        <w:rPr>
          <w:rFonts w:ascii="Times New Roman" w:hAnsi="Times New Roman" w:cs="Times New Roman"/>
          <w:sz w:val="24"/>
          <w:szCs w:val="24"/>
        </w:rPr>
        <w:t>y;</w:t>
      </w:r>
    </w:p>
    <w:tbl>
      <w:tblPr>
        <w:tblW w:w="11128" w:type="dxa"/>
        <w:jc w:val="center"/>
        <w:tblCellMar>
          <w:top w:w="15" w:type="dxa"/>
        </w:tblCellMar>
        <w:tblLook w:val="04A0" w:firstRow="1" w:lastRow="0" w:firstColumn="1" w:lastColumn="0" w:noHBand="0" w:noVBand="1"/>
      </w:tblPr>
      <w:tblGrid>
        <w:gridCol w:w="1180"/>
        <w:gridCol w:w="272"/>
        <w:gridCol w:w="1177"/>
        <w:gridCol w:w="298"/>
        <w:gridCol w:w="1182"/>
        <w:gridCol w:w="272"/>
        <w:gridCol w:w="1067"/>
        <w:gridCol w:w="231"/>
        <w:gridCol w:w="945"/>
        <w:gridCol w:w="272"/>
        <w:gridCol w:w="1174"/>
        <w:gridCol w:w="266"/>
        <w:gridCol w:w="1144"/>
        <w:gridCol w:w="272"/>
        <w:gridCol w:w="1154"/>
        <w:gridCol w:w="222"/>
      </w:tblGrid>
      <w:tr w:rsidR="00AC3CD2" w:rsidRPr="00AC3CD2" w14:paraId="496729DB" w14:textId="77777777" w:rsidTr="00AC3CD2">
        <w:trPr>
          <w:gridAfter w:val="1"/>
          <w:wAfter w:w="222" w:type="dxa"/>
          <w:trHeight w:val="270"/>
          <w:jc w:val="center"/>
        </w:trPr>
        <w:tc>
          <w:tcPr>
            <w:tcW w:w="10906" w:type="dxa"/>
            <w:gridSpan w:val="15"/>
            <w:tcBorders>
              <w:top w:val="nil"/>
              <w:left w:val="nil"/>
              <w:bottom w:val="single" w:sz="4" w:space="0" w:color="auto"/>
              <w:right w:val="nil"/>
            </w:tcBorders>
            <w:shd w:val="clear" w:color="auto" w:fill="auto"/>
            <w:vAlign w:val="bottom"/>
            <w:hideMark/>
          </w:tcPr>
          <w:p w14:paraId="48719B7F" w14:textId="77777777" w:rsidR="00AC3CD2" w:rsidRPr="00AC3CD2" w:rsidRDefault="00AC3CD2" w:rsidP="00AC3CD2">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t xml:space="preserve">Number and Percentage of Investment and Senior Staff </w:t>
            </w:r>
          </w:p>
        </w:tc>
      </w:tr>
      <w:tr w:rsidR="00AC3CD2" w:rsidRPr="00AC3CD2" w14:paraId="44E55124" w14:textId="77777777" w:rsidTr="00AC3CD2">
        <w:trPr>
          <w:gridAfter w:val="1"/>
          <w:wAfter w:w="222" w:type="dxa"/>
          <w:trHeight w:val="1190"/>
          <w:jc w:val="center"/>
        </w:trPr>
        <w:tc>
          <w:tcPr>
            <w:tcW w:w="1180" w:type="dxa"/>
            <w:tcBorders>
              <w:top w:val="nil"/>
              <w:left w:val="nil"/>
              <w:bottom w:val="single" w:sz="4" w:space="0" w:color="auto"/>
              <w:right w:val="nil"/>
            </w:tcBorders>
            <w:shd w:val="clear" w:color="auto" w:fill="auto"/>
            <w:vAlign w:val="bottom"/>
            <w:hideMark/>
          </w:tcPr>
          <w:p w14:paraId="15BDA4C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72" w:type="dxa"/>
            <w:tcBorders>
              <w:top w:val="nil"/>
              <w:left w:val="nil"/>
              <w:bottom w:val="single" w:sz="4" w:space="0" w:color="auto"/>
              <w:right w:val="nil"/>
            </w:tcBorders>
            <w:shd w:val="clear" w:color="auto" w:fill="auto"/>
            <w:vAlign w:val="bottom"/>
            <w:hideMark/>
          </w:tcPr>
          <w:p w14:paraId="2767478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77" w:type="dxa"/>
            <w:tcBorders>
              <w:top w:val="nil"/>
              <w:left w:val="nil"/>
              <w:bottom w:val="single" w:sz="4" w:space="0" w:color="auto"/>
              <w:right w:val="nil"/>
            </w:tcBorders>
            <w:shd w:val="clear" w:color="auto" w:fill="auto"/>
            <w:vAlign w:val="bottom"/>
            <w:hideMark/>
          </w:tcPr>
          <w:p w14:paraId="4030BD3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98" w:type="dxa"/>
            <w:tcBorders>
              <w:top w:val="nil"/>
              <w:left w:val="nil"/>
              <w:bottom w:val="nil"/>
              <w:right w:val="nil"/>
            </w:tcBorders>
            <w:shd w:val="clear" w:color="auto" w:fill="auto"/>
            <w:vAlign w:val="bottom"/>
            <w:hideMark/>
          </w:tcPr>
          <w:p w14:paraId="28D7F4BF"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82" w:type="dxa"/>
            <w:tcBorders>
              <w:top w:val="nil"/>
              <w:left w:val="nil"/>
              <w:bottom w:val="single" w:sz="4" w:space="0" w:color="auto"/>
              <w:right w:val="nil"/>
            </w:tcBorders>
            <w:shd w:val="clear" w:color="auto" w:fill="auto"/>
            <w:vAlign w:val="bottom"/>
            <w:hideMark/>
          </w:tcPr>
          <w:p w14:paraId="7FD5105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72" w:type="dxa"/>
            <w:tcBorders>
              <w:top w:val="nil"/>
              <w:left w:val="nil"/>
              <w:bottom w:val="single" w:sz="4" w:space="0" w:color="auto"/>
              <w:right w:val="nil"/>
            </w:tcBorders>
            <w:shd w:val="clear" w:color="auto" w:fill="auto"/>
            <w:vAlign w:val="bottom"/>
            <w:hideMark/>
          </w:tcPr>
          <w:p w14:paraId="2BE0A1F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067" w:type="dxa"/>
            <w:tcBorders>
              <w:top w:val="nil"/>
              <w:left w:val="nil"/>
              <w:bottom w:val="single" w:sz="4" w:space="0" w:color="auto"/>
              <w:right w:val="nil"/>
            </w:tcBorders>
            <w:shd w:val="clear" w:color="auto" w:fill="auto"/>
            <w:vAlign w:val="bottom"/>
            <w:hideMark/>
          </w:tcPr>
          <w:p w14:paraId="63B32C5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31" w:type="dxa"/>
            <w:tcBorders>
              <w:top w:val="nil"/>
              <w:left w:val="nil"/>
              <w:bottom w:val="nil"/>
              <w:right w:val="nil"/>
            </w:tcBorders>
            <w:shd w:val="clear" w:color="auto" w:fill="auto"/>
            <w:vAlign w:val="bottom"/>
            <w:hideMark/>
          </w:tcPr>
          <w:p w14:paraId="6BB9FA9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nil"/>
            </w:tcBorders>
            <w:shd w:val="clear" w:color="auto" w:fill="auto"/>
            <w:vAlign w:val="bottom"/>
            <w:hideMark/>
          </w:tcPr>
          <w:p w14:paraId="58CFA15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72" w:type="dxa"/>
            <w:tcBorders>
              <w:top w:val="nil"/>
              <w:left w:val="nil"/>
              <w:bottom w:val="single" w:sz="4" w:space="0" w:color="auto"/>
              <w:right w:val="nil"/>
            </w:tcBorders>
            <w:shd w:val="clear" w:color="auto" w:fill="auto"/>
            <w:vAlign w:val="bottom"/>
            <w:hideMark/>
          </w:tcPr>
          <w:p w14:paraId="306E484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74" w:type="dxa"/>
            <w:tcBorders>
              <w:top w:val="nil"/>
              <w:left w:val="nil"/>
              <w:bottom w:val="single" w:sz="4" w:space="0" w:color="auto"/>
              <w:right w:val="nil"/>
            </w:tcBorders>
            <w:shd w:val="clear" w:color="auto" w:fill="auto"/>
            <w:noWrap/>
            <w:vAlign w:val="bottom"/>
            <w:hideMark/>
          </w:tcPr>
          <w:p w14:paraId="11D776F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c>
          <w:tcPr>
            <w:tcW w:w="266" w:type="dxa"/>
            <w:tcBorders>
              <w:top w:val="nil"/>
              <w:left w:val="nil"/>
              <w:bottom w:val="nil"/>
              <w:right w:val="nil"/>
            </w:tcBorders>
            <w:shd w:val="clear" w:color="auto" w:fill="auto"/>
            <w:noWrap/>
            <w:vAlign w:val="bottom"/>
            <w:hideMark/>
          </w:tcPr>
          <w:p w14:paraId="11FB3A1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tcBorders>
              <w:top w:val="nil"/>
              <w:left w:val="nil"/>
              <w:bottom w:val="single" w:sz="4" w:space="0" w:color="auto"/>
              <w:right w:val="nil"/>
            </w:tcBorders>
            <w:shd w:val="clear" w:color="auto" w:fill="auto"/>
            <w:vAlign w:val="bottom"/>
            <w:hideMark/>
          </w:tcPr>
          <w:p w14:paraId="6DF0812F" w14:textId="2B226AB1"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Persons</w:t>
            </w:r>
            <w:r w:rsidR="00F02DC0">
              <w:rPr>
                <w:rFonts w:ascii="Times New Roman" w:eastAsia="Times New Roman" w:hAnsi="Times New Roman" w:cs="Times New Roman"/>
                <w:sz w:val="20"/>
                <w:szCs w:val="20"/>
              </w:rPr>
              <w:t xml:space="preserve"> </w:t>
            </w:r>
            <w:r w:rsidRPr="00AC3CD2">
              <w:rPr>
                <w:rFonts w:ascii="Times New Roman" w:eastAsia="Times New Roman" w:hAnsi="Times New Roman" w:cs="Times New Roman"/>
                <w:sz w:val="20"/>
                <w:szCs w:val="20"/>
              </w:rPr>
              <w:t>with Disabilities</w:t>
            </w:r>
          </w:p>
        </w:tc>
        <w:tc>
          <w:tcPr>
            <w:tcW w:w="272" w:type="dxa"/>
            <w:tcBorders>
              <w:top w:val="nil"/>
              <w:left w:val="nil"/>
              <w:bottom w:val="single" w:sz="4" w:space="0" w:color="auto"/>
              <w:right w:val="nil"/>
            </w:tcBorders>
            <w:shd w:val="clear" w:color="auto" w:fill="auto"/>
            <w:vAlign w:val="bottom"/>
            <w:hideMark/>
          </w:tcPr>
          <w:p w14:paraId="3E98D971"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t>
            </w:r>
          </w:p>
        </w:tc>
        <w:tc>
          <w:tcPr>
            <w:tcW w:w="1154" w:type="dxa"/>
            <w:tcBorders>
              <w:top w:val="nil"/>
              <w:left w:val="nil"/>
              <w:bottom w:val="single" w:sz="4" w:space="0" w:color="auto"/>
              <w:right w:val="nil"/>
            </w:tcBorders>
            <w:shd w:val="clear" w:color="auto" w:fill="auto"/>
            <w:noWrap/>
            <w:vAlign w:val="bottom"/>
            <w:hideMark/>
          </w:tcPr>
          <w:p w14:paraId="08DA972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Percent</w:t>
            </w:r>
          </w:p>
        </w:tc>
      </w:tr>
      <w:tr w:rsidR="00AC3CD2" w:rsidRPr="00AC3CD2" w14:paraId="4CEB6545" w14:textId="77777777" w:rsidTr="00AC3CD2">
        <w:trPr>
          <w:gridAfter w:val="1"/>
          <w:wAfter w:w="222" w:type="dxa"/>
          <w:trHeight w:val="260"/>
          <w:jc w:val="center"/>
        </w:trPr>
        <w:tc>
          <w:tcPr>
            <w:tcW w:w="1180" w:type="dxa"/>
            <w:vMerge w:val="restart"/>
            <w:tcBorders>
              <w:top w:val="nil"/>
              <w:left w:val="single" w:sz="4" w:space="0" w:color="auto"/>
              <w:bottom w:val="single" w:sz="4" w:space="0" w:color="000000"/>
              <w:right w:val="single" w:sz="4" w:space="0" w:color="auto"/>
            </w:tcBorders>
            <w:shd w:val="clear" w:color="auto" w:fill="auto"/>
            <w:vAlign w:val="bottom"/>
            <w:hideMark/>
          </w:tcPr>
          <w:p w14:paraId="2C669EBB"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77E43EC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7" w:type="dxa"/>
            <w:vMerge w:val="restart"/>
            <w:tcBorders>
              <w:top w:val="nil"/>
              <w:left w:val="single" w:sz="4" w:space="0" w:color="auto"/>
              <w:bottom w:val="single" w:sz="4" w:space="0" w:color="000000"/>
              <w:right w:val="single" w:sz="4" w:space="0" w:color="auto"/>
            </w:tcBorders>
            <w:shd w:val="clear" w:color="auto" w:fill="auto"/>
            <w:vAlign w:val="bottom"/>
            <w:hideMark/>
          </w:tcPr>
          <w:p w14:paraId="0A4A3AA2"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8" w:type="dxa"/>
            <w:tcBorders>
              <w:top w:val="nil"/>
              <w:left w:val="nil"/>
              <w:bottom w:val="nil"/>
              <w:right w:val="nil"/>
            </w:tcBorders>
            <w:shd w:val="clear" w:color="auto" w:fill="auto"/>
            <w:vAlign w:val="bottom"/>
            <w:hideMark/>
          </w:tcPr>
          <w:p w14:paraId="5CB80B9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82" w:type="dxa"/>
            <w:vMerge w:val="restart"/>
            <w:tcBorders>
              <w:top w:val="nil"/>
              <w:left w:val="single" w:sz="4" w:space="0" w:color="auto"/>
              <w:bottom w:val="single" w:sz="4" w:space="0" w:color="000000"/>
              <w:right w:val="single" w:sz="4" w:space="0" w:color="auto"/>
            </w:tcBorders>
            <w:shd w:val="clear" w:color="auto" w:fill="auto"/>
            <w:vAlign w:val="bottom"/>
            <w:hideMark/>
          </w:tcPr>
          <w:p w14:paraId="1BA1057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0B5C1BE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067" w:type="dxa"/>
            <w:vMerge w:val="restart"/>
            <w:tcBorders>
              <w:top w:val="nil"/>
              <w:left w:val="single" w:sz="4" w:space="0" w:color="auto"/>
              <w:bottom w:val="single" w:sz="4" w:space="0" w:color="000000"/>
              <w:right w:val="single" w:sz="4" w:space="0" w:color="auto"/>
            </w:tcBorders>
            <w:shd w:val="clear" w:color="auto" w:fill="auto"/>
            <w:vAlign w:val="bottom"/>
            <w:hideMark/>
          </w:tcPr>
          <w:p w14:paraId="67A7F73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31" w:type="dxa"/>
            <w:tcBorders>
              <w:top w:val="nil"/>
              <w:left w:val="nil"/>
              <w:bottom w:val="nil"/>
              <w:right w:val="nil"/>
            </w:tcBorders>
            <w:shd w:val="clear" w:color="auto" w:fill="auto"/>
            <w:vAlign w:val="bottom"/>
            <w:hideMark/>
          </w:tcPr>
          <w:p w14:paraId="31C3C196"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945" w:type="dxa"/>
            <w:vMerge w:val="restart"/>
            <w:tcBorders>
              <w:top w:val="nil"/>
              <w:left w:val="single" w:sz="4" w:space="0" w:color="auto"/>
              <w:bottom w:val="single" w:sz="4" w:space="0" w:color="000000"/>
              <w:right w:val="single" w:sz="4" w:space="0" w:color="auto"/>
            </w:tcBorders>
            <w:shd w:val="clear" w:color="auto" w:fill="auto"/>
            <w:vAlign w:val="bottom"/>
            <w:hideMark/>
          </w:tcPr>
          <w:p w14:paraId="3DE671B5"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4CA4FAE7"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3A5B10"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66" w:type="dxa"/>
            <w:tcBorders>
              <w:top w:val="nil"/>
              <w:left w:val="nil"/>
              <w:bottom w:val="nil"/>
              <w:right w:val="single" w:sz="4" w:space="0" w:color="auto"/>
            </w:tcBorders>
            <w:shd w:val="clear" w:color="auto" w:fill="auto"/>
            <w:noWrap/>
            <w:vAlign w:val="bottom"/>
            <w:hideMark/>
          </w:tcPr>
          <w:p w14:paraId="09C46B47"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vMerge w:val="restart"/>
            <w:tcBorders>
              <w:top w:val="nil"/>
              <w:left w:val="single" w:sz="4" w:space="0" w:color="auto"/>
              <w:bottom w:val="single" w:sz="4" w:space="0" w:color="000000"/>
              <w:right w:val="single" w:sz="4" w:space="0" w:color="auto"/>
            </w:tcBorders>
            <w:shd w:val="clear" w:color="auto" w:fill="auto"/>
            <w:vAlign w:val="bottom"/>
            <w:hideMark/>
          </w:tcPr>
          <w:p w14:paraId="4F543D03"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72" w:type="dxa"/>
            <w:tcBorders>
              <w:top w:val="nil"/>
              <w:left w:val="nil"/>
              <w:bottom w:val="nil"/>
              <w:right w:val="nil"/>
            </w:tcBorders>
            <w:shd w:val="clear" w:color="auto" w:fill="auto"/>
            <w:vAlign w:val="bottom"/>
            <w:hideMark/>
          </w:tcPr>
          <w:p w14:paraId="6DB57B19"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5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405435"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62E5DFB3" w14:textId="77777777" w:rsidTr="00AC3CD2">
        <w:trPr>
          <w:gridAfter w:val="1"/>
          <w:wAfter w:w="222" w:type="dxa"/>
          <w:trHeight w:val="260"/>
          <w:jc w:val="center"/>
        </w:trPr>
        <w:tc>
          <w:tcPr>
            <w:tcW w:w="1180" w:type="dxa"/>
            <w:vMerge/>
            <w:tcBorders>
              <w:top w:val="nil"/>
              <w:left w:val="single" w:sz="4" w:space="0" w:color="auto"/>
              <w:bottom w:val="single" w:sz="4" w:space="0" w:color="000000"/>
              <w:right w:val="single" w:sz="4" w:space="0" w:color="auto"/>
            </w:tcBorders>
            <w:vAlign w:val="center"/>
            <w:hideMark/>
          </w:tcPr>
          <w:p w14:paraId="7D98F71B"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04CCE5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77" w:type="dxa"/>
            <w:vMerge/>
            <w:tcBorders>
              <w:top w:val="nil"/>
              <w:left w:val="single" w:sz="4" w:space="0" w:color="auto"/>
              <w:bottom w:val="single" w:sz="4" w:space="0" w:color="000000"/>
              <w:right w:val="single" w:sz="4" w:space="0" w:color="auto"/>
            </w:tcBorders>
            <w:vAlign w:val="center"/>
            <w:hideMark/>
          </w:tcPr>
          <w:p w14:paraId="4D95432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723E6E75"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82" w:type="dxa"/>
            <w:vMerge/>
            <w:tcBorders>
              <w:top w:val="nil"/>
              <w:left w:val="single" w:sz="4" w:space="0" w:color="auto"/>
              <w:bottom w:val="single" w:sz="4" w:space="0" w:color="000000"/>
              <w:right w:val="single" w:sz="4" w:space="0" w:color="auto"/>
            </w:tcBorders>
            <w:vAlign w:val="center"/>
            <w:hideMark/>
          </w:tcPr>
          <w:p w14:paraId="6020744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581A296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067" w:type="dxa"/>
            <w:vMerge/>
            <w:tcBorders>
              <w:top w:val="nil"/>
              <w:left w:val="single" w:sz="4" w:space="0" w:color="auto"/>
              <w:bottom w:val="single" w:sz="4" w:space="0" w:color="000000"/>
              <w:right w:val="single" w:sz="4" w:space="0" w:color="auto"/>
            </w:tcBorders>
            <w:vAlign w:val="center"/>
            <w:hideMark/>
          </w:tcPr>
          <w:p w14:paraId="7EB32B2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31" w:type="dxa"/>
            <w:tcBorders>
              <w:top w:val="nil"/>
              <w:left w:val="nil"/>
              <w:bottom w:val="nil"/>
              <w:right w:val="nil"/>
            </w:tcBorders>
            <w:shd w:val="clear" w:color="auto" w:fill="auto"/>
            <w:vAlign w:val="bottom"/>
            <w:hideMark/>
          </w:tcPr>
          <w:p w14:paraId="3A8C90F4"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945" w:type="dxa"/>
            <w:vMerge/>
            <w:tcBorders>
              <w:top w:val="nil"/>
              <w:left w:val="single" w:sz="4" w:space="0" w:color="auto"/>
              <w:bottom w:val="single" w:sz="4" w:space="0" w:color="000000"/>
              <w:right w:val="single" w:sz="4" w:space="0" w:color="auto"/>
            </w:tcBorders>
            <w:vAlign w:val="center"/>
            <w:hideMark/>
          </w:tcPr>
          <w:p w14:paraId="3DA1A34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D00BA7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vMerge/>
            <w:tcBorders>
              <w:top w:val="nil"/>
              <w:left w:val="single" w:sz="4" w:space="0" w:color="auto"/>
              <w:bottom w:val="single" w:sz="4" w:space="0" w:color="000000"/>
              <w:right w:val="single" w:sz="4" w:space="0" w:color="auto"/>
            </w:tcBorders>
            <w:vAlign w:val="center"/>
            <w:hideMark/>
          </w:tcPr>
          <w:p w14:paraId="1FFD8C5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single" w:sz="4" w:space="0" w:color="auto"/>
            </w:tcBorders>
            <w:shd w:val="clear" w:color="auto" w:fill="auto"/>
            <w:noWrap/>
            <w:vAlign w:val="bottom"/>
            <w:hideMark/>
          </w:tcPr>
          <w:p w14:paraId="5CFDD93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1144" w:type="dxa"/>
            <w:vMerge/>
            <w:tcBorders>
              <w:top w:val="nil"/>
              <w:left w:val="single" w:sz="4" w:space="0" w:color="auto"/>
              <w:bottom w:val="single" w:sz="4" w:space="0" w:color="000000"/>
              <w:right w:val="single" w:sz="4" w:space="0" w:color="auto"/>
            </w:tcBorders>
            <w:vAlign w:val="center"/>
            <w:hideMark/>
          </w:tcPr>
          <w:p w14:paraId="11831D9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6E1351C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1154" w:type="dxa"/>
            <w:vMerge/>
            <w:tcBorders>
              <w:top w:val="nil"/>
              <w:left w:val="single" w:sz="4" w:space="0" w:color="auto"/>
              <w:bottom w:val="single" w:sz="4" w:space="0" w:color="000000"/>
              <w:right w:val="single" w:sz="4" w:space="0" w:color="auto"/>
            </w:tcBorders>
            <w:vAlign w:val="center"/>
            <w:hideMark/>
          </w:tcPr>
          <w:p w14:paraId="7634CE93"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778B78FB" w14:textId="77777777" w:rsidTr="00AC3CD2">
        <w:trPr>
          <w:gridAfter w:val="1"/>
          <w:wAfter w:w="222" w:type="dxa"/>
          <w:trHeight w:val="260"/>
          <w:jc w:val="center"/>
        </w:trPr>
        <w:tc>
          <w:tcPr>
            <w:tcW w:w="1180" w:type="dxa"/>
            <w:tcBorders>
              <w:top w:val="nil"/>
              <w:left w:val="nil"/>
              <w:bottom w:val="nil"/>
              <w:right w:val="nil"/>
            </w:tcBorders>
            <w:shd w:val="clear" w:color="auto" w:fill="auto"/>
            <w:vAlign w:val="bottom"/>
            <w:hideMark/>
          </w:tcPr>
          <w:p w14:paraId="27C3D170"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1E466F6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vAlign w:val="bottom"/>
            <w:hideMark/>
          </w:tcPr>
          <w:p w14:paraId="0F2BD73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auto"/>
            <w:vAlign w:val="bottom"/>
            <w:hideMark/>
          </w:tcPr>
          <w:p w14:paraId="1FEB75C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82" w:type="dxa"/>
            <w:tcBorders>
              <w:top w:val="nil"/>
              <w:left w:val="nil"/>
              <w:bottom w:val="nil"/>
              <w:right w:val="nil"/>
            </w:tcBorders>
            <w:shd w:val="clear" w:color="auto" w:fill="auto"/>
            <w:vAlign w:val="bottom"/>
            <w:hideMark/>
          </w:tcPr>
          <w:p w14:paraId="27121A40"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7C85E39C"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vAlign w:val="bottom"/>
            <w:hideMark/>
          </w:tcPr>
          <w:p w14:paraId="3779DA1F"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31" w:type="dxa"/>
            <w:tcBorders>
              <w:top w:val="nil"/>
              <w:left w:val="nil"/>
              <w:bottom w:val="nil"/>
              <w:right w:val="nil"/>
            </w:tcBorders>
            <w:shd w:val="clear" w:color="auto" w:fill="auto"/>
            <w:vAlign w:val="bottom"/>
            <w:hideMark/>
          </w:tcPr>
          <w:p w14:paraId="58B1BA3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945" w:type="dxa"/>
            <w:tcBorders>
              <w:top w:val="nil"/>
              <w:left w:val="nil"/>
              <w:bottom w:val="nil"/>
              <w:right w:val="nil"/>
            </w:tcBorders>
            <w:shd w:val="clear" w:color="auto" w:fill="auto"/>
            <w:vAlign w:val="bottom"/>
            <w:hideMark/>
          </w:tcPr>
          <w:p w14:paraId="3542B45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5B0D42F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vAlign w:val="bottom"/>
            <w:hideMark/>
          </w:tcPr>
          <w:p w14:paraId="26CE39D9"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508DFDF1"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14:paraId="7253E4A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177806A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noWrap/>
            <w:vAlign w:val="bottom"/>
            <w:hideMark/>
          </w:tcPr>
          <w:p w14:paraId="72A3233B"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322A88AB" w14:textId="77777777" w:rsidTr="00AC3CD2">
        <w:trPr>
          <w:gridAfter w:val="1"/>
          <w:wAfter w:w="222" w:type="dxa"/>
          <w:trHeight w:val="263"/>
          <w:jc w:val="center"/>
        </w:trPr>
        <w:tc>
          <w:tcPr>
            <w:tcW w:w="5448" w:type="dxa"/>
            <w:gridSpan w:val="7"/>
            <w:tcBorders>
              <w:top w:val="nil"/>
              <w:left w:val="nil"/>
              <w:bottom w:val="nil"/>
              <w:right w:val="nil"/>
            </w:tcBorders>
            <w:shd w:val="clear" w:color="auto" w:fill="auto"/>
            <w:noWrap/>
            <w:vAlign w:val="bottom"/>
            <w:hideMark/>
          </w:tcPr>
          <w:p w14:paraId="3CAD1A6A" w14:textId="77777777" w:rsidR="00AC3CD2" w:rsidRPr="00AC3CD2" w:rsidRDefault="00AC3CD2" w:rsidP="00AC3CD2">
            <w:pPr>
              <w:spacing w:after="0" w:line="240" w:lineRule="auto"/>
              <w:rPr>
                <w:rFonts w:ascii="Times New Roman" w:eastAsia="Times New Roman" w:hAnsi="Times New Roman" w:cs="Times New Roman"/>
                <w:i/>
                <w:iCs/>
                <w:sz w:val="20"/>
                <w:szCs w:val="20"/>
              </w:rPr>
            </w:pPr>
            <w:r w:rsidRPr="00AC3CD2">
              <w:rPr>
                <w:rFonts w:ascii="Times New Roman" w:eastAsia="Times New Roman" w:hAnsi="Times New Roman" w:cs="Times New Roman"/>
                <w:i/>
                <w:iCs/>
                <w:sz w:val="20"/>
                <w:szCs w:val="20"/>
              </w:rPr>
              <w:t>Positions included in Investment and Senior Staff figures:</w:t>
            </w:r>
          </w:p>
        </w:tc>
        <w:tc>
          <w:tcPr>
            <w:tcW w:w="231" w:type="dxa"/>
            <w:tcBorders>
              <w:top w:val="nil"/>
              <w:left w:val="nil"/>
              <w:bottom w:val="nil"/>
              <w:right w:val="nil"/>
            </w:tcBorders>
            <w:shd w:val="clear" w:color="auto" w:fill="auto"/>
            <w:vAlign w:val="bottom"/>
            <w:hideMark/>
          </w:tcPr>
          <w:p w14:paraId="57DB1745"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945" w:type="dxa"/>
            <w:tcBorders>
              <w:top w:val="nil"/>
              <w:left w:val="nil"/>
              <w:bottom w:val="nil"/>
              <w:right w:val="nil"/>
            </w:tcBorders>
            <w:shd w:val="clear" w:color="auto" w:fill="auto"/>
            <w:vAlign w:val="bottom"/>
            <w:hideMark/>
          </w:tcPr>
          <w:p w14:paraId="0B1885D7"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46D33F6E"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74" w:type="dxa"/>
            <w:tcBorders>
              <w:top w:val="nil"/>
              <w:left w:val="nil"/>
              <w:bottom w:val="nil"/>
              <w:right w:val="nil"/>
            </w:tcBorders>
            <w:shd w:val="clear" w:color="auto" w:fill="auto"/>
            <w:vAlign w:val="bottom"/>
            <w:hideMark/>
          </w:tcPr>
          <w:p w14:paraId="31352CE3"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6007D6B5"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vAlign w:val="bottom"/>
            <w:hideMark/>
          </w:tcPr>
          <w:p w14:paraId="27C4BA38"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vAlign w:val="bottom"/>
            <w:hideMark/>
          </w:tcPr>
          <w:p w14:paraId="4128AF5D"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1154" w:type="dxa"/>
            <w:tcBorders>
              <w:top w:val="nil"/>
              <w:left w:val="nil"/>
              <w:bottom w:val="nil"/>
              <w:right w:val="nil"/>
            </w:tcBorders>
            <w:shd w:val="clear" w:color="auto" w:fill="auto"/>
            <w:vAlign w:val="bottom"/>
            <w:hideMark/>
          </w:tcPr>
          <w:p w14:paraId="50DC6564"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6C98B272" w14:textId="77777777" w:rsidTr="00AC3CD2">
        <w:trPr>
          <w:gridAfter w:val="1"/>
          <w:wAfter w:w="222" w:type="dxa"/>
          <w:trHeight w:val="408"/>
          <w:jc w:val="center"/>
        </w:trPr>
        <w:tc>
          <w:tcPr>
            <w:tcW w:w="10906"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C9CBB5" w14:textId="77777777" w:rsidR="00AC3CD2" w:rsidRPr="00AC3CD2" w:rsidRDefault="00AC3CD2" w:rsidP="00AC3CD2">
            <w:pPr>
              <w:spacing w:after="0" w:line="240" w:lineRule="auto"/>
              <w:rPr>
                <w:rFonts w:ascii="Times New Roman" w:eastAsia="Times New Roman" w:hAnsi="Times New Roman" w:cs="Times New Roman"/>
                <w:i/>
                <w:iCs/>
                <w:sz w:val="20"/>
                <w:szCs w:val="20"/>
              </w:rPr>
            </w:pPr>
            <w:r w:rsidRPr="00AC3CD2">
              <w:rPr>
                <w:rFonts w:ascii="Times New Roman" w:eastAsia="Times New Roman" w:hAnsi="Times New Roman" w:cs="Times New Roman"/>
                <w:i/>
                <w:iCs/>
                <w:sz w:val="20"/>
                <w:szCs w:val="20"/>
              </w:rPr>
              <w:t> </w:t>
            </w:r>
          </w:p>
        </w:tc>
      </w:tr>
      <w:tr w:rsidR="00AC3CD2" w:rsidRPr="00AC3CD2" w14:paraId="7C35E5F0" w14:textId="77777777" w:rsidTr="00AC3CD2">
        <w:trPr>
          <w:trHeight w:val="263"/>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3902BB7F"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38DFC92F"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r>
      <w:tr w:rsidR="00AC3CD2" w:rsidRPr="00AC3CD2" w14:paraId="770DE24B" w14:textId="77777777" w:rsidTr="00AC3CD2">
        <w:trPr>
          <w:trHeight w:val="263"/>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3AC32E89"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6CDD0B78"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r w:rsidR="00AC3CD2" w:rsidRPr="00AC3CD2" w14:paraId="250EEF27" w14:textId="77777777" w:rsidTr="00AC3CD2">
        <w:trPr>
          <w:trHeight w:val="260"/>
          <w:jc w:val="center"/>
        </w:trPr>
        <w:tc>
          <w:tcPr>
            <w:tcW w:w="10906" w:type="dxa"/>
            <w:gridSpan w:val="15"/>
            <w:vMerge/>
            <w:tcBorders>
              <w:top w:val="single" w:sz="4" w:space="0" w:color="auto"/>
              <w:left w:val="single" w:sz="4" w:space="0" w:color="auto"/>
              <w:bottom w:val="single" w:sz="4" w:space="0" w:color="000000"/>
              <w:right w:val="single" w:sz="4" w:space="0" w:color="000000"/>
            </w:tcBorders>
            <w:vAlign w:val="center"/>
            <w:hideMark/>
          </w:tcPr>
          <w:p w14:paraId="6AAF4012" w14:textId="77777777" w:rsidR="00AC3CD2" w:rsidRPr="00AC3CD2" w:rsidRDefault="00AC3CD2" w:rsidP="00AC3CD2">
            <w:pPr>
              <w:spacing w:after="0" w:line="240" w:lineRule="auto"/>
              <w:rPr>
                <w:rFonts w:ascii="Times New Roman" w:eastAsia="Times New Roman" w:hAnsi="Times New Roman" w:cs="Times New Roman"/>
                <w:i/>
                <w:iCs/>
                <w:sz w:val="20"/>
                <w:szCs w:val="20"/>
              </w:rPr>
            </w:pPr>
          </w:p>
        </w:tc>
        <w:tc>
          <w:tcPr>
            <w:tcW w:w="222" w:type="dxa"/>
            <w:tcBorders>
              <w:top w:val="nil"/>
              <w:left w:val="nil"/>
              <w:bottom w:val="nil"/>
              <w:right w:val="nil"/>
            </w:tcBorders>
            <w:shd w:val="clear" w:color="auto" w:fill="auto"/>
            <w:noWrap/>
            <w:vAlign w:val="bottom"/>
            <w:hideMark/>
          </w:tcPr>
          <w:p w14:paraId="6039D0DF"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bl>
    <w:p w14:paraId="0DB91D4E" w14:textId="11A5FF3F" w:rsidR="00620ECB" w:rsidRDefault="00620ECB" w:rsidP="00620ECB">
      <w:pPr>
        <w:spacing w:after="240" w:line="240" w:lineRule="auto"/>
        <w:ind w:left="720"/>
        <w:jc w:val="both"/>
        <w:rPr>
          <w:rFonts w:ascii="Times New Roman" w:hAnsi="Times New Roman" w:cs="Times New Roman"/>
          <w:sz w:val="24"/>
          <w:szCs w:val="24"/>
        </w:rPr>
      </w:pPr>
    </w:p>
    <w:p w14:paraId="04C97495" w14:textId="43895BD0" w:rsidR="00AC3CD2" w:rsidRPr="00AC3CD2" w:rsidRDefault="00C323FC"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 xml:space="preserve">the number of contracts for investment, consulting, professional, and artistic services the investment adviser has with a minority or </w:t>
      </w:r>
      <w:r w:rsidRPr="00C323FC">
        <w:rPr>
          <w:rFonts w:ascii="Times New Roman" w:eastAsia="Times New Roman" w:hAnsi="Times New Roman" w:cs="Times New Roman"/>
          <w:sz w:val="24"/>
          <w:szCs w:val="24"/>
        </w:rPr>
        <w:t>women-</w:t>
      </w:r>
      <w:r w:rsidRPr="00C323FC">
        <w:rPr>
          <w:rFonts w:ascii="Times New Roman" w:hAnsi="Times New Roman" w:cs="Times New Roman"/>
          <w:sz w:val="24"/>
          <w:szCs w:val="24"/>
        </w:rPr>
        <w:t xml:space="preserve">owned business, </w:t>
      </w:r>
      <w:r w:rsidRPr="00C323FC">
        <w:rPr>
          <w:rFonts w:ascii="Times New Roman" w:eastAsia="Times New Roman" w:hAnsi="Times New Roman" w:cs="Times New Roman"/>
          <w:sz w:val="24"/>
          <w:szCs w:val="24"/>
        </w:rPr>
        <w:t xml:space="preserve">a veteran owned small business, </w:t>
      </w:r>
      <w:r w:rsidRPr="00C323FC">
        <w:rPr>
          <w:rFonts w:ascii="Times New Roman" w:hAnsi="Times New Roman" w:cs="Times New Roman"/>
          <w:sz w:val="24"/>
          <w:szCs w:val="24"/>
        </w:rPr>
        <w:t xml:space="preserve">or a business owned by a person with a disability; </w:t>
      </w:r>
      <w:r w:rsidRPr="00C323FC">
        <w:rPr>
          <w:rFonts w:ascii="Times New Roman" w:eastAsia="Times New Roman" w:hAnsi="Times New Roman" w:cs="Times New Roman"/>
          <w:sz w:val="24"/>
          <w:szCs w:val="24"/>
        </w:rPr>
        <w:t>an</w:t>
      </w:r>
      <w:r w:rsidR="00AC3CD2">
        <w:rPr>
          <w:rFonts w:ascii="Times New Roman" w:eastAsia="Times New Roman" w:hAnsi="Times New Roman" w:cs="Times New Roman"/>
          <w:sz w:val="24"/>
          <w:szCs w:val="24"/>
        </w:rPr>
        <w:t>d</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AC3CD2" w:rsidRPr="00AC3CD2" w14:paraId="34439EB6" w14:textId="77777777" w:rsidTr="00AC3CD2">
        <w:trPr>
          <w:trHeight w:val="270"/>
          <w:jc w:val="center"/>
        </w:trPr>
        <w:tc>
          <w:tcPr>
            <w:tcW w:w="10940" w:type="dxa"/>
            <w:gridSpan w:val="7"/>
            <w:tcBorders>
              <w:top w:val="nil"/>
              <w:left w:val="nil"/>
              <w:bottom w:val="single" w:sz="4" w:space="0" w:color="auto"/>
              <w:right w:val="nil"/>
            </w:tcBorders>
            <w:shd w:val="clear" w:color="auto" w:fill="auto"/>
            <w:vAlign w:val="bottom"/>
            <w:hideMark/>
          </w:tcPr>
          <w:p w14:paraId="50B7BFBD" w14:textId="77777777" w:rsidR="00AC3CD2" w:rsidRPr="00AC3CD2" w:rsidRDefault="00AC3CD2" w:rsidP="00AC3CD2">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t>Number of Contracts</w:t>
            </w:r>
          </w:p>
        </w:tc>
      </w:tr>
      <w:tr w:rsidR="00AC3CD2" w:rsidRPr="00AC3CD2" w14:paraId="710CA6C6" w14:textId="77777777" w:rsidTr="00AC3CD2">
        <w:trPr>
          <w:trHeight w:val="530"/>
          <w:jc w:val="center"/>
        </w:trPr>
        <w:tc>
          <w:tcPr>
            <w:tcW w:w="2531" w:type="dxa"/>
            <w:tcBorders>
              <w:top w:val="single" w:sz="4" w:space="0" w:color="auto"/>
              <w:left w:val="nil"/>
              <w:bottom w:val="single" w:sz="4" w:space="0" w:color="auto"/>
              <w:right w:val="nil"/>
            </w:tcBorders>
            <w:shd w:val="clear" w:color="auto" w:fill="auto"/>
            <w:vAlign w:val="bottom"/>
            <w:hideMark/>
          </w:tcPr>
          <w:p w14:paraId="212C78E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99" w:type="dxa"/>
            <w:tcBorders>
              <w:top w:val="nil"/>
              <w:left w:val="nil"/>
              <w:bottom w:val="nil"/>
              <w:right w:val="nil"/>
            </w:tcBorders>
            <w:shd w:val="clear" w:color="auto" w:fill="auto"/>
            <w:vAlign w:val="bottom"/>
            <w:hideMark/>
          </w:tcPr>
          <w:p w14:paraId="4227B02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079EA24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99" w:type="dxa"/>
            <w:tcBorders>
              <w:top w:val="nil"/>
              <w:left w:val="nil"/>
              <w:bottom w:val="nil"/>
              <w:right w:val="nil"/>
            </w:tcBorders>
            <w:shd w:val="clear" w:color="auto" w:fill="auto"/>
            <w:vAlign w:val="bottom"/>
            <w:hideMark/>
          </w:tcPr>
          <w:p w14:paraId="6BC3BE1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4F60DC83"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22" w:type="dxa"/>
            <w:tcBorders>
              <w:top w:val="nil"/>
              <w:left w:val="nil"/>
              <w:bottom w:val="nil"/>
              <w:right w:val="nil"/>
            </w:tcBorders>
            <w:shd w:val="clear" w:color="auto" w:fill="auto"/>
            <w:vAlign w:val="bottom"/>
            <w:hideMark/>
          </w:tcPr>
          <w:p w14:paraId="51F86B2D"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491" w:type="dxa"/>
            <w:tcBorders>
              <w:top w:val="single" w:sz="4" w:space="0" w:color="auto"/>
              <w:left w:val="nil"/>
              <w:bottom w:val="single" w:sz="4" w:space="0" w:color="auto"/>
              <w:right w:val="nil"/>
            </w:tcBorders>
            <w:shd w:val="clear" w:color="auto" w:fill="auto"/>
            <w:vAlign w:val="bottom"/>
            <w:hideMark/>
          </w:tcPr>
          <w:p w14:paraId="2AB10A3B" w14:textId="77777777" w:rsidR="00F02DC0"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xml:space="preserve">Number of Persons </w:t>
            </w:r>
          </w:p>
          <w:p w14:paraId="4234722B" w14:textId="6263D361"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with Disabilities</w:t>
            </w:r>
          </w:p>
        </w:tc>
      </w:tr>
      <w:tr w:rsidR="00AC3CD2" w:rsidRPr="00AC3CD2" w14:paraId="6F340391" w14:textId="77777777" w:rsidTr="00AC3CD2">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D66DAE4"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nil"/>
              <w:bottom w:val="nil"/>
              <w:right w:val="nil"/>
            </w:tcBorders>
            <w:shd w:val="clear" w:color="auto" w:fill="auto"/>
            <w:vAlign w:val="bottom"/>
            <w:hideMark/>
          </w:tcPr>
          <w:p w14:paraId="3DE8121A"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0B4EE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single" w:sz="4" w:space="0" w:color="auto"/>
              <w:bottom w:val="nil"/>
              <w:right w:val="nil"/>
            </w:tcBorders>
            <w:shd w:val="clear" w:color="auto" w:fill="auto"/>
            <w:vAlign w:val="bottom"/>
            <w:hideMark/>
          </w:tcPr>
          <w:p w14:paraId="4BDEDD7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E401FE"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22" w:type="dxa"/>
            <w:tcBorders>
              <w:top w:val="nil"/>
              <w:left w:val="single" w:sz="4" w:space="0" w:color="auto"/>
              <w:bottom w:val="nil"/>
              <w:right w:val="nil"/>
            </w:tcBorders>
            <w:shd w:val="clear" w:color="auto" w:fill="auto"/>
            <w:vAlign w:val="bottom"/>
            <w:hideMark/>
          </w:tcPr>
          <w:p w14:paraId="292D313C"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C69AF8"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785C7716" w14:textId="77777777" w:rsidTr="00AC3CD2">
        <w:trPr>
          <w:trHeight w:val="260"/>
          <w:jc w:val="center"/>
        </w:trPr>
        <w:tc>
          <w:tcPr>
            <w:tcW w:w="2531" w:type="dxa"/>
            <w:vMerge/>
            <w:tcBorders>
              <w:top w:val="single" w:sz="4" w:space="0" w:color="auto"/>
              <w:left w:val="single" w:sz="4" w:space="0" w:color="auto"/>
              <w:bottom w:val="single" w:sz="4" w:space="0" w:color="000000"/>
              <w:right w:val="single" w:sz="4" w:space="0" w:color="000000"/>
            </w:tcBorders>
            <w:vAlign w:val="center"/>
            <w:hideMark/>
          </w:tcPr>
          <w:p w14:paraId="3979CBF6"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9" w:type="dxa"/>
            <w:tcBorders>
              <w:top w:val="nil"/>
              <w:left w:val="nil"/>
              <w:bottom w:val="nil"/>
              <w:right w:val="single" w:sz="4" w:space="0" w:color="auto"/>
            </w:tcBorders>
            <w:shd w:val="clear" w:color="auto" w:fill="auto"/>
            <w:vAlign w:val="bottom"/>
            <w:hideMark/>
          </w:tcPr>
          <w:p w14:paraId="109260A1" w14:textId="77777777" w:rsidR="00AC3CD2" w:rsidRPr="00AC3CD2" w:rsidRDefault="00AC3CD2" w:rsidP="00AC3CD2">
            <w:pPr>
              <w:spacing w:after="0" w:line="240" w:lineRule="auto"/>
              <w:jc w:val="center"/>
              <w:rPr>
                <w:rFonts w:ascii="Times New Roman" w:eastAsia="Times New Roman" w:hAnsi="Times New Roman" w:cs="Times New Roman"/>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14:paraId="5A91C62C"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99" w:type="dxa"/>
            <w:tcBorders>
              <w:top w:val="nil"/>
              <w:left w:val="single" w:sz="4" w:space="0" w:color="auto"/>
              <w:bottom w:val="nil"/>
              <w:right w:val="single" w:sz="4" w:space="0" w:color="auto"/>
            </w:tcBorders>
            <w:shd w:val="clear" w:color="auto" w:fill="auto"/>
            <w:vAlign w:val="bottom"/>
            <w:hideMark/>
          </w:tcPr>
          <w:p w14:paraId="256C5CFA"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549" w:type="dxa"/>
            <w:vMerge/>
            <w:tcBorders>
              <w:top w:val="single" w:sz="4" w:space="0" w:color="000000"/>
              <w:left w:val="single" w:sz="4" w:space="0" w:color="auto"/>
              <w:bottom w:val="single" w:sz="4" w:space="0" w:color="auto"/>
              <w:right w:val="single" w:sz="4" w:space="0" w:color="auto"/>
            </w:tcBorders>
            <w:vAlign w:val="center"/>
            <w:hideMark/>
          </w:tcPr>
          <w:p w14:paraId="4937B83D"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22" w:type="dxa"/>
            <w:tcBorders>
              <w:top w:val="nil"/>
              <w:left w:val="single" w:sz="4" w:space="0" w:color="auto"/>
              <w:bottom w:val="nil"/>
              <w:right w:val="single" w:sz="4" w:space="0" w:color="auto"/>
            </w:tcBorders>
            <w:shd w:val="clear" w:color="auto" w:fill="auto"/>
            <w:vAlign w:val="bottom"/>
            <w:hideMark/>
          </w:tcPr>
          <w:p w14:paraId="79A3D8B2" w14:textId="77777777" w:rsidR="00AC3CD2" w:rsidRPr="00AC3CD2" w:rsidRDefault="00AC3CD2" w:rsidP="00AC3CD2">
            <w:pPr>
              <w:spacing w:after="0" w:line="240" w:lineRule="auto"/>
              <w:rPr>
                <w:rFonts w:ascii="Times New Roman" w:eastAsia="Times New Roman" w:hAnsi="Times New Roman" w:cs="Times New Roman"/>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14:paraId="1DBD0B05" w14:textId="77777777" w:rsidR="00AC3CD2" w:rsidRPr="00AC3CD2" w:rsidRDefault="00AC3CD2" w:rsidP="00AC3CD2">
            <w:pPr>
              <w:spacing w:after="0" w:line="240" w:lineRule="auto"/>
              <w:rPr>
                <w:rFonts w:ascii="Times New Roman" w:eastAsia="Times New Roman" w:hAnsi="Times New Roman" w:cs="Times New Roman"/>
                <w:sz w:val="20"/>
                <w:szCs w:val="20"/>
              </w:rPr>
            </w:pPr>
          </w:p>
        </w:tc>
      </w:tr>
    </w:tbl>
    <w:p w14:paraId="07942617" w14:textId="6038A6F8" w:rsidR="00AC3CD2" w:rsidRDefault="00AC3CD2" w:rsidP="00AC3CD2">
      <w:pPr>
        <w:spacing w:after="240" w:line="240" w:lineRule="auto"/>
        <w:jc w:val="both"/>
        <w:rPr>
          <w:rFonts w:ascii="Times New Roman" w:hAnsi="Times New Roman" w:cs="Times New Roman"/>
          <w:sz w:val="24"/>
          <w:szCs w:val="24"/>
        </w:rPr>
      </w:pPr>
    </w:p>
    <w:p w14:paraId="483FBA45" w14:textId="3F8A3AAA" w:rsidR="00620ECB" w:rsidRDefault="00C323FC" w:rsidP="00620ECB">
      <w:pPr>
        <w:pStyle w:val="ListParagraph"/>
        <w:numPr>
          <w:ilvl w:val="0"/>
          <w:numId w:val="5"/>
        </w:numPr>
        <w:spacing w:after="240" w:line="240" w:lineRule="auto"/>
        <w:contextualSpacing w:val="0"/>
        <w:jc w:val="both"/>
        <w:rPr>
          <w:rFonts w:ascii="Times New Roman" w:hAnsi="Times New Roman" w:cs="Times New Roman"/>
          <w:sz w:val="24"/>
          <w:szCs w:val="24"/>
        </w:rPr>
      </w:pPr>
      <w:r w:rsidRPr="00C323FC">
        <w:rPr>
          <w:rFonts w:ascii="Times New Roman" w:hAnsi="Times New Roman" w:cs="Times New Roman"/>
          <w:sz w:val="24"/>
          <w:szCs w:val="24"/>
        </w:rPr>
        <w:t>the number of contracts for investment, consulting, professional, and artistic services which the investment adviser</w:t>
      </w:r>
      <w:r w:rsidRPr="00C323FC">
        <w:rPr>
          <w:rFonts w:ascii="Times New Roman" w:hAnsi="Times New Roman" w:cs="Times New Roman"/>
          <w:sz w:val="24"/>
          <w:szCs w:val="24"/>
        </w:rPr>
        <w:t xml:space="preserve"> </w:t>
      </w:r>
      <w:r w:rsidRPr="00C323FC">
        <w:rPr>
          <w:rFonts w:ascii="Times New Roman" w:hAnsi="Times New Roman" w:cs="Times New Roman"/>
          <w:sz w:val="24"/>
          <w:szCs w:val="24"/>
        </w:rPr>
        <w:t xml:space="preserve">has with a business other than a minority or </w:t>
      </w:r>
      <w:r w:rsidRPr="00C323FC">
        <w:rPr>
          <w:rFonts w:ascii="Times New Roman" w:eastAsia="Times New Roman" w:hAnsi="Times New Roman" w:cs="Times New Roman"/>
          <w:sz w:val="24"/>
          <w:szCs w:val="24"/>
        </w:rPr>
        <w:t>women-owned business, a veteran owned small</w:t>
      </w:r>
      <w:r w:rsidRPr="00C323FC">
        <w:rPr>
          <w:rFonts w:ascii="Times New Roman" w:hAnsi="Times New Roman" w:cs="Times New Roman"/>
          <w:sz w:val="24"/>
          <w:szCs w:val="24"/>
        </w:rPr>
        <w:t xml:space="preserve"> business, or a business owned by a person with a disability, if more than 50% of the services performed pursuant to that contract are performed by a minority person, a </w:t>
      </w:r>
      <w:r w:rsidRPr="00C323FC">
        <w:rPr>
          <w:rFonts w:ascii="Times New Roman" w:eastAsia="Times New Roman" w:hAnsi="Times New Roman" w:cs="Times New Roman"/>
          <w:sz w:val="24"/>
          <w:szCs w:val="24"/>
        </w:rPr>
        <w:t>women, a veteran, or a person</w:t>
      </w:r>
      <w:r w:rsidRPr="00C323FC">
        <w:rPr>
          <w:rFonts w:ascii="Times New Roman" w:hAnsi="Times New Roman" w:cs="Times New Roman"/>
          <w:sz w:val="24"/>
          <w:szCs w:val="24"/>
        </w:rPr>
        <w:t xml:space="preserve"> with </w:t>
      </w:r>
      <w:r w:rsidRPr="00C323FC">
        <w:rPr>
          <w:rFonts w:ascii="Times New Roman" w:eastAsia="Times New Roman" w:hAnsi="Times New Roman" w:cs="Times New Roman"/>
          <w:sz w:val="24"/>
          <w:szCs w:val="24"/>
        </w:rPr>
        <w:t>a disability</w:t>
      </w:r>
      <w:r w:rsidRPr="00C323FC">
        <w:rPr>
          <w:rFonts w:ascii="Times New Roman" w:hAnsi="Times New Roman" w:cs="Times New Roman"/>
          <w:sz w:val="24"/>
          <w:szCs w:val="24"/>
        </w:rPr>
        <w:t xml:space="preserve">. </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AC3CD2" w:rsidRPr="00AC3CD2" w14:paraId="49EA21A4" w14:textId="77777777" w:rsidTr="00AC3CD2">
        <w:trPr>
          <w:trHeight w:val="270"/>
          <w:jc w:val="center"/>
        </w:trPr>
        <w:tc>
          <w:tcPr>
            <w:tcW w:w="10940" w:type="dxa"/>
            <w:gridSpan w:val="7"/>
            <w:tcBorders>
              <w:top w:val="nil"/>
              <w:left w:val="nil"/>
              <w:bottom w:val="single" w:sz="4" w:space="0" w:color="auto"/>
              <w:right w:val="nil"/>
            </w:tcBorders>
            <w:shd w:val="clear" w:color="auto" w:fill="auto"/>
            <w:vAlign w:val="bottom"/>
            <w:hideMark/>
          </w:tcPr>
          <w:p w14:paraId="258DBF21" w14:textId="007BA71D" w:rsidR="00AC3CD2" w:rsidRPr="00AC3CD2" w:rsidRDefault="00AC3CD2" w:rsidP="00153B8A">
            <w:pPr>
              <w:spacing w:after="0" w:line="240" w:lineRule="auto"/>
              <w:jc w:val="center"/>
              <w:rPr>
                <w:rFonts w:ascii="Times New Roman" w:eastAsia="Times New Roman" w:hAnsi="Times New Roman" w:cs="Times New Roman"/>
                <w:b/>
                <w:bCs/>
                <w:i/>
                <w:iCs/>
                <w:sz w:val="20"/>
                <w:szCs w:val="20"/>
              </w:rPr>
            </w:pPr>
            <w:r w:rsidRPr="00AC3CD2">
              <w:rPr>
                <w:rFonts w:ascii="Times New Roman" w:eastAsia="Times New Roman" w:hAnsi="Times New Roman" w:cs="Times New Roman"/>
                <w:b/>
                <w:bCs/>
                <w:i/>
                <w:iCs/>
                <w:sz w:val="20"/>
                <w:szCs w:val="20"/>
              </w:rPr>
              <w:lastRenderedPageBreak/>
              <w:t>Contracts</w:t>
            </w:r>
            <w:r>
              <w:rPr>
                <w:rFonts w:ascii="Times New Roman" w:eastAsia="Times New Roman" w:hAnsi="Times New Roman" w:cs="Times New Roman"/>
                <w:b/>
                <w:bCs/>
                <w:i/>
                <w:iCs/>
                <w:sz w:val="20"/>
                <w:szCs w:val="20"/>
              </w:rPr>
              <w:t xml:space="preserve"> in Excess of 50%</w:t>
            </w:r>
          </w:p>
        </w:tc>
      </w:tr>
      <w:tr w:rsidR="00AC3CD2" w:rsidRPr="00AC3CD2" w14:paraId="1DC0649C" w14:textId="77777777" w:rsidTr="00AC3CD2">
        <w:trPr>
          <w:trHeight w:val="530"/>
          <w:jc w:val="center"/>
        </w:trPr>
        <w:tc>
          <w:tcPr>
            <w:tcW w:w="2531" w:type="dxa"/>
            <w:tcBorders>
              <w:top w:val="single" w:sz="4" w:space="0" w:color="auto"/>
              <w:left w:val="nil"/>
              <w:bottom w:val="single" w:sz="4" w:space="0" w:color="auto"/>
              <w:right w:val="nil"/>
            </w:tcBorders>
            <w:shd w:val="clear" w:color="auto" w:fill="auto"/>
            <w:vAlign w:val="bottom"/>
            <w:hideMark/>
          </w:tcPr>
          <w:p w14:paraId="36196373"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Minorities</w:t>
            </w:r>
          </w:p>
        </w:tc>
        <w:tc>
          <w:tcPr>
            <w:tcW w:w="299" w:type="dxa"/>
            <w:tcBorders>
              <w:top w:val="nil"/>
              <w:left w:val="nil"/>
              <w:bottom w:val="nil"/>
              <w:right w:val="nil"/>
            </w:tcBorders>
            <w:shd w:val="clear" w:color="auto" w:fill="auto"/>
            <w:vAlign w:val="bottom"/>
            <w:hideMark/>
          </w:tcPr>
          <w:p w14:paraId="07090893"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009AA20F"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Women</w:t>
            </w:r>
          </w:p>
        </w:tc>
        <w:tc>
          <w:tcPr>
            <w:tcW w:w="299" w:type="dxa"/>
            <w:tcBorders>
              <w:top w:val="nil"/>
              <w:left w:val="nil"/>
              <w:bottom w:val="nil"/>
              <w:right w:val="nil"/>
            </w:tcBorders>
            <w:shd w:val="clear" w:color="auto" w:fill="auto"/>
            <w:vAlign w:val="bottom"/>
            <w:hideMark/>
          </w:tcPr>
          <w:p w14:paraId="4747C4D5"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tcBorders>
              <w:top w:val="single" w:sz="4" w:space="0" w:color="auto"/>
              <w:left w:val="nil"/>
              <w:bottom w:val="single" w:sz="4" w:space="0" w:color="auto"/>
              <w:right w:val="nil"/>
            </w:tcBorders>
            <w:shd w:val="clear" w:color="auto" w:fill="auto"/>
            <w:vAlign w:val="bottom"/>
            <w:hideMark/>
          </w:tcPr>
          <w:p w14:paraId="2756FFBD"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Veterans</w:t>
            </w:r>
          </w:p>
        </w:tc>
        <w:tc>
          <w:tcPr>
            <w:tcW w:w="222" w:type="dxa"/>
            <w:tcBorders>
              <w:top w:val="nil"/>
              <w:left w:val="nil"/>
              <w:bottom w:val="nil"/>
              <w:right w:val="nil"/>
            </w:tcBorders>
            <w:shd w:val="clear" w:color="auto" w:fill="auto"/>
            <w:vAlign w:val="bottom"/>
            <w:hideMark/>
          </w:tcPr>
          <w:p w14:paraId="4F9DCB3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491" w:type="dxa"/>
            <w:tcBorders>
              <w:top w:val="single" w:sz="4" w:space="0" w:color="auto"/>
              <w:left w:val="nil"/>
              <w:bottom w:val="single" w:sz="4" w:space="0" w:color="auto"/>
              <w:right w:val="nil"/>
            </w:tcBorders>
            <w:shd w:val="clear" w:color="auto" w:fill="auto"/>
            <w:vAlign w:val="bottom"/>
            <w:hideMark/>
          </w:tcPr>
          <w:p w14:paraId="54BF0E5B" w14:textId="77777777" w:rsidR="00F02DC0"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Number of Persons</w:t>
            </w:r>
          </w:p>
          <w:p w14:paraId="738A5A8A" w14:textId="4096AE66"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with Disabilities</w:t>
            </w:r>
          </w:p>
        </w:tc>
      </w:tr>
      <w:tr w:rsidR="00AC3CD2" w:rsidRPr="00AC3CD2" w14:paraId="5AB19ACC" w14:textId="77777777" w:rsidTr="00AC3CD2">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8E06D8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nil"/>
              <w:bottom w:val="nil"/>
              <w:right w:val="nil"/>
            </w:tcBorders>
            <w:shd w:val="clear" w:color="auto" w:fill="auto"/>
            <w:vAlign w:val="bottom"/>
            <w:hideMark/>
          </w:tcPr>
          <w:p w14:paraId="54D7422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1228FC"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99" w:type="dxa"/>
            <w:tcBorders>
              <w:top w:val="nil"/>
              <w:left w:val="single" w:sz="4" w:space="0" w:color="auto"/>
              <w:bottom w:val="nil"/>
              <w:right w:val="nil"/>
            </w:tcBorders>
            <w:shd w:val="clear" w:color="auto" w:fill="auto"/>
            <w:vAlign w:val="bottom"/>
            <w:hideMark/>
          </w:tcPr>
          <w:p w14:paraId="10BB42B0"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FA0611"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c>
          <w:tcPr>
            <w:tcW w:w="222" w:type="dxa"/>
            <w:tcBorders>
              <w:top w:val="nil"/>
              <w:left w:val="single" w:sz="4" w:space="0" w:color="auto"/>
              <w:bottom w:val="nil"/>
              <w:right w:val="nil"/>
            </w:tcBorders>
            <w:shd w:val="clear" w:color="auto" w:fill="auto"/>
            <w:vAlign w:val="bottom"/>
            <w:hideMark/>
          </w:tcPr>
          <w:p w14:paraId="64C7B9DA"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D31CDD0"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r w:rsidRPr="00AC3CD2">
              <w:rPr>
                <w:rFonts w:ascii="Times New Roman" w:eastAsia="Times New Roman" w:hAnsi="Times New Roman" w:cs="Times New Roman"/>
                <w:sz w:val="20"/>
                <w:szCs w:val="20"/>
              </w:rPr>
              <w:t> </w:t>
            </w:r>
          </w:p>
        </w:tc>
      </w:tr>
      <w:tr w:rsidR="00AC3CD2" w:rsidRPr="00AC3CD2" w14:paraId="36A96094" w14:textId="77777777" w:rsidTr="00AC3CD2">
        <w:trPr>
          <w:trHeight w:val="260"/>
          <w:jc w:val="center"/>
        </w:trPr>
        <w:tc>
          <w:tcPr>
            <w:tcW w:w="2531" w:type="dxa"/>
            <w:vMerge/>
            <w:tcBorders>
              <w:top w:val="single" w:sz="4" w:space="0" w:color="auto"/>
              <w:left w:val="single" w:sz="4" w:space="0" w:color="auto"/>
              <w:bottom w:val="single" w:sz="4" w:space="0" w:color="000000"/>
              <w:right w:val="single" w:sz="4" w:space="0" w:color="000000"/>
            </w:tcBorders>
            <w:vAlign w:val="center"/>
            <w:hideMark/>
          </w:tcPr>
          <w:p w14:paraId="6A8C7613"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99" w:type="dxa"/>
            <w:tcBorders>
              <w:top w:val="nil"/>
              <w:left w:val="nil"/>
              <w:bottom w:val="nil"/>
              <w:right w:val="single" w:sz="4" w:space="0" w:color="auto"/>
            </w:tcBorders>
            <w:shd w:val="clear" w:color="auto" w:fill="auto"/>
            <w:vAlign w:val="bottom"/>
            <w:hideMark/>
          </w:tcPr>
          <w:p w14:paraId="299A9B4F" w14:textId="77777777" w:rsidR="00AC3CD2" w:rsidRPr="00AC3CD2" w:rsidRDefault="00AC3CD2" w:rsidP="00153B8A">
            <w:pPr>
              <w:spacing w:after="0" w:line="240" w:lineRule="auto"/>
              <w:jc w:val="center"/>
              <w:rPr>
                <w:rFonts w:ascii="Times New Roman" w:eastAsia="Times New Roman" w:hAnsi="Times New Roman" w:cs="Times New Roman"/>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14:paraId="2B44E876"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99" w:type="dxa"/>
            <w:tcBorders>
              <w:top w:val="nil"/>
              <w:left w:val="single" w:sz="4" w:space="0" w:color="auto"/>
              <w:bottom w:val="nil"/>
              <w:right w:val="single" w:sz="4" w:space="0" w:color="auto"/>
            </w:tcBorders>
            <w:shd w:val="clear" w:color="auto" w:fill="auto"/>
            <w:vAlign w:val="bottom"/>
            <w:hideMark/>
          </w:tcPr>
          <w:p w14:paraId="0D96CAA4"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549" w:type="dxa"/>
            <w:vMerge/>
            <w:tcBorders>
              <w:top w:val="single" w:sz="4" w:space="0" w:color="000000"/>
              <w:left w:val="single" w:sz="4" w:space="0" w:color="auto"/>
              <w:bottom w:val="single" w:sz="4" w:space="0" w:color="auto"/>
              <w:right w:val="single" w:sz="4" w:space="0" w:color="auto"/>
            </w:tcBorders>
            <w:vAlign w:val="center"/>
            <w:hideMark/>
          </w:tcPr>
          <w:p w14:paraId="6CE8ABE6"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22" w:type="dxa"/>
            <w:tcBorders>
              <w:top w:val="nil"/>
              <w:left w:val="single" w:sz="4" w:space="0" w:color="auto"/>
              <w:bottom w:val="nil"/>
              <w:right w:val="single" w:sz="4" w:space="0" w:color="auto"/>
            </w:tcBorders>
            <w:shd w:val="clear" w:color="auto" w:fill="auto"/>
            <w:vAlign w:val="bottom"/>
            <w:hideMark/>
          </w:tcPr>
          <w:p w14:paraId="35178AD8" w14:textId="77777777" w:rsidR="00AC3CD2" w:rsidRPr="00AC3CD2" w:rsidRDefault="00AC3CD2" w:rsidP="00153B8A">
            <w:pPr>
              <w:spacing w:after="0" w:line="240" w:lineRule="auto"/>
              <w:rPr>
                <w:rFonts w:ascii="Times New Roman" w:eastAsia="Times New Roman" w:hAnsi="Times New Roman" w:cs="Times New Roman"/>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14:paraId="633656B6" w14:textId="77777777" w:rsidR="00AC3CD2" w:rsidRPr="00AC3CD2" w:rsidRDefault="00AC3CD2" w:rsidP="00153B8A">
            <w:pPr>
              <w:spacing w:after="0" w:line="240" w:lineRule="auto"/>
              <w:rPr>
                <w:rFonts w:ascii="Times New Roman" w:eastAsia="Times New Roman" w:hAnsi="Times New Roman" w:cs="Times New Roman"/>
                <w:sz w:val="20"/>
                <w:szCs w:val="20"/>
              </w:rPr>
            </w:pPr>
          </w:p>
        </w:tc>
      </w:tr>
    </w:tbl>
    <w:p w14:paraId="235C4347" w14:textId="77777777" w:rsidR="00AC3CD2" w:rsidRDefault="00AC3CD2" w:rsidP="00620ECB">
      <w:pPr>
        <w:spacing w:after="240" w:line="240" w:lineRule="auto"/>
        <w:ind w:left="720"/>
        <w:jc w:val="both"/>
        <w:rPr>
          <w:rFonts w:ascii="Times New Roman" w:hAnsi="Times New Roman" w:cs="Times New Roman"/>
          <w:sz w:val="24"/>
          <w:szCs w:val="24"/>
        </w:rPr>
      </w:pPr>
    </w:p>
    <w:p w14:paraId="44A188FC" w14:textId="4C212BA4" w:rsidR="00C4440F" w:rsidRPr="00620ECB" w:rsidRDefault="00C323FC" w:rsidP="00620ECB">
      <w:pPr>
        <w:spacing w:after="240" w:line="240" w:lineRule="auto"/>
        <w:ind w:left="720"/>
        <w:jc w:val="both"/>
        <w:rPr>
          <w:rFonts w:ascii="Times New Roman" w:hAnsi="Times New Roman" w:cs="Times New Roman"/>
          <w:sz w:val="24"/>
          <w:szCs w:val="24"/>
        </w:rPr>
      </w:pPr>
      <w:r w:rsidRPr="00620ECB">
        <w:rPr>
          <w:rFonts w:ascii="Times New Roman" w:hAnsi="Times New Roman" w:cs="Times New Roman"/>
          <w:sz w:val="24"/>
          <w:szCs w:val="24"/>
        </w:rPr>
        <w:t xml:space="preserve">For the purposes of this subsection, the terms </w:t>
      </w:r>
      <w:r w:rsidRPr="00620ECB">
        <w:rPr>
          <w:rFonts w:ascii="Times New Roman" w:eastAsia="Times New Roman" w:hAnsi="Times New Roman" w:cs="Times New Roman"/>
          <w:sz w:val="24"/>
          <w:szCs w:val="24"/>
        </w:rPr>
        <w:t>“minority person”, “women”, “person with a disability”, “minority-owned business”, “women-owned business”, and “business owned by a person with a disability” have the same meaning as those terms have in the Business Enterprise for Minorities, Women, and Persons with Disabilities Act.  For the purposes of this subsection, the terms “veteran” and “veteran owned small business” have the same meaning as those terms have in 30 ILCS 500/45-57.  For the purposes of this subsection, the terms “</w:t>
      </w:r>
      <w:r w:rsidRPr="00620ECB">
        <w:rPr>
          <w:rFonts w:ascii="Times New Roman" w:hAnsi="Times New Roman" w:cs="Times New Roman"/>
          <w:sz w:val="24"/>
          <w:szCs w:val="24"/>
        </w:rPr>
        <w:t>professional service</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 xml:space="preserve"> and </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artistic service</w:t>
      </w:r>
      <w:r w:rsidRPr="00620ECB">
        <w:rPr>
          <w:rFonts w:ascii="Times New Roman" w:eastAsia="Times New Roman" w:hAnsi="Times New Roman" w:cs="Times New Roman"/>
          <w:sz w:val="24"/>
          <w:szCs w:val="24"/>
        </w:rPr>
        <w:t>”</w:t>
      </w:r>
      <w:r w:rsidRPr="00620ECB">
        <w:rPr>
          <w:rFonts w:ascii="Times New Roman" w:hAnsi="Times New Roman" w:cs="Times New Roman"/>
          <w:sz w:val="24"/>
          <w:szCs w:val="24"/>
        </w:rPr>
        <w:t xml:space="preserve"> have the same meanings as those terms have in 30 ILCS </w:t>
      </w:r>
      <w:r w:rsidRPr="00620ECB">
        <w:rPr>
          <w:rFonts w:ascii="Times New Roman" w:eastAsia="Times New Roman" w:hAnsi="Times New Roman" w:cs="Times New Roman"/>
          <w:sz w:val="24"/>
          <w:szCs w:val="24"/>
        </w:rPr>
        <w:t>500/1</w:t>
      </w:r>
      <w:r w:rsidRPr="00620ECB">
        <w:rPr>
          <w:rFonts w:ascii="Times New Roman" w:hAnsi="Times New Roman" w:cs="Times New Roman"/>
          <w:sz w:val="24"/>
          <w:szCs w:val="24"/>
        </w:rPr>
        <w:t>-15.60.</w:t>
      </w:r>
    </w:p>
    <w:p w14:paraId="7F15EDB8" w14:textId="7717CE84" w:rsidR="00C323FC" w:rsidRPr="00AC3CD2" w:rsidRDefault="00C323FC" w:rsidP="00620ECB">
      <w:pPr>
        <w:pStyle w:val="ListParagraph"/>
        <w:numPr>
          <w:ilvl w:val="0"/>
          <w:numId w:val="1"/>
        </w:numPr>
        <w:spacing w:after="240" w:line="240" w:lineRule="auto"/>
        <w:ind w:hanging="720"/>
        <w:jc w:val="both"/>
        <w:rPr>
          <w:rFonts w:ascii="Times New Roman" w:hAnsi="Times New Roman" w:cs="Times New Roman"/>
          <w:sz w:val="24"/>
          <w:szCs w:val="24"/>
        </w:rPr>
      </w:pPr>
      <w:r w:rsidRPr="00620ECB">
        <w:rPr>
          <w:rFonts w:ascii="Times New Roman" w:eastAsia="Times New Roman" w:hAnsi="Times New Roman" w:cs="Times New Roman"/>
          <w:sz w:val="24"/>
          <w:szCs w:val="24"/>
        </w:rPr>
        <w:t xml:space="preserve">Disclosure by the </w:t>
      </w:r>
      <w:r w:rsidRPr="00620ECB">
        <w:rPr>
          <w:rFonts w:ascii="Times New Roman" w:hAnsi="Times New Roman" w:cs="Times New Roman"/>
          <w:sz w:val="24"/>
          <w:szCs w:val="24"/>
        </w:rPr>
        <w:t>investment adviser</w:t>
      </w:r>
      <w:r w:rsidRPr="00620ECB">
        <w:rPr>
          <w:rFonts w:ascii="Times New Roman" w:eastAsia="Times New Roman" w:hAnsi="Times New Roman" w:cs="Times New Roman"/>
          <w:sz w:val="24"/>
          <w:szCs w:val="24"/>
        </w:rPr>
        <w:t>, by any executive officer (as defined i</w:t>
      </w:r>
      <w:r w:rsidRPr="00620ECB">
        <w:rPr>
          <w:rFonts w:ascii="Times New Roman" w:eastAsia="Times New Roman" w:hAnsi="Times New Roman" w:cs="Times New Roman"/>
          <w:sz w:val="24"/>
          <w:szCs w:val="24"/>
        </w:rPr>
        <w:t>n item 2,</w:t>
      </w:r>
      <w:r w:rsidRPr="00620ECB">
        <w:rPr>
          <w:rFonts w:ascii="Times New Roman" w:eastAsia="Times New Roman" w:hAnsi="Times New Roman" w:cs="Times New Roman"/>
          <w:sz w:val="24"/>
          <w:szCs w:val="24"/>
        </w:rPr>
        <w:t xml:space="preserve"> above) or shareholder of the </w:t>
      </w:r>
      <w:r w:rsidRPr="00620ECB">
        <w:rPr>
          <w:rFonts w:ascii="Times New Roman" w:hAnsi="Times New Roman" w:cs="Times New Roman"/>
          <w:sz w:val="24"/>
          <w:szCs w:val="24"/>
        </w:rPr>
        <w:t>investment adviser</w:t>
      </w:r>
      <w:r w:rsidRPr="00620ECB">
        <w:rPr>
          <w:rFonts w:ascii="Times New Roman" w:eastAsia="Times New Roman" w:hAnsi="Times New Roman" w:cs="Times New Roman"/>
          <w:sz w:val="24"/>
          <w:szCs w:val="24"/>
        </w:rPr>
        <w:t xml:space="preserve">, by any parent entity, by any executive officers of any entity that is a parent of, or owns a controlling interest in, the </w:t>
      </w:r>
      <w:r w:rsidRPr="00620ECB">
        <w:rPr>
          <w:rFonts w:ascii="Times New Roman" w:hAnsi="Times New Roman" w:cs="Times New Roman"/>
          <w:sz w:val="24"/>
          <w:szCs w:val="24"/>
        </w:rPr>
        <w:t>investment adviser</w:t>
      </w:r>
      <w:r w:rsidRPr="00620ECB">
        <w:rPr>
          <w:rFonts w:ascii="Times New Roman" w:eastAsia="Times New Roman" w:hAnsi="Times New Roman" w:cs="Times New Roman"/>
          <w:sz w:val="24"/>
          <w:szCs w:val="24"/>
        </w:rPr>
        <w:t>, or by the entity itself of any financial support  of $1,000 or more in a calendar year within the prior five (5) calendar years and/or formal involvement with any community or not-for-profit organization with a central purpose of influencing public policy related to budgetary and fiscal policy which directly or indirectly relates to the continued availability and long-term viability of defined benefit pensions in the public sector, education policy, and retirement security policy.</w:t>
      </w:r>
    </w:p>
    <w:p w14:paraId="675A9E74" w14:textId="77777777" w:rsidR="00AC3CD2" w:rsidRPr="00620ECB" w:rsidRDefault="00AC3CD2" w:rsidP="00AC3CD2">
      <w:pPr>
        <w:pStyle w:val="ListParagraph"/>
        <w:spacing w:after="240" w:line="240" w:lineRule="auto"/>
        <w:jc w:val="both"/>
        <w:rPr>
          <w:rFonts w:ascii="Times New Roman" w:hAnsi="Times New Roman" w:cs="Times New Roman"/>
          <w:sz w:val="24"/>
          <w:szCs w:val="24"/>
        </w:rPr>
      </w:pPr>
    </w:p>
    <w:p w14:paraId="43161BC8" w14:textId="3DDF13B3"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sidRPr="00C323FC">
        <w:rPr>
          <w:rFonts w:ascii="Times New Roman" w:eastAsia="Times New Roman" w:hAnsi="Times New Roman" w:cs="Times New Roman"/>
          <w:sz w:val="24"/>
          <w:szCs w:val="24"/>
        </w:rPr>
        <w:t xml:space="preserve">For the purposes of this disclosure, an organization has the “central purpose” of influencing policy if it is understood with the exercise of reasonable due diligence, including but not limited to the examination of the organization’s IRS filings and other publicly- available statements of purpose, that the organization intends to affect policy or engage in lobbying or other advocacy activity.  An </w:t>
      </w:r>
      <w:r w:rsidRPr="00C323FC">
        <w:rPr>
          <w:rFonts w:ascii="Times New Roman" w:eastAsia="Times New Roman" w:hAnsi="Times New Roman" w:cs="Times New Roman"/>
          <w:sz w:val="24"/>
          <w:szCs w:val="24"/>
        </w:rPr>
        <w:t>investment adviser</w:t>
      </w:r>
      <w:r w:rsidRPr="00C323FC">
        <w:rPr>
          <w:rFonts w:ascii="Times New Roman" w:eastAsia="Times New Roman" w:hAnsi="Times New Roman" w:cs="Times New Roman"/>
          <w:sz w:val="24"/>
          <w:szCs w:val="24"/>
        </w:rPr>
        <w:t xml:space="preserve"> is not required to disclose contributions to organizations that engage in such activities in furtherance of providing medical research, aid to the poor, disaster relief, or other such tangible goods or service.  The organizations listed in Exhibit A</w:t>
      </w:r>
      <w:r w:rsidRPr="00C323FC">
        <w:rPr>
          <w:rFonts w:ascii="Times New Roman" w:eastAsia="Times New Roman" w:hAnsi="Times New Roman" w:cs="Times New Roman"/>
          <w:sz w:val="24"/>
          <w:szCs w:val="24"/>
        </w:rPr>
        <w:t xml:space="preserve"> to the Fund’s Procurement Policy</w:t>
      </w:r>
      <w:r w:rsidRPr="00C323FC">
        <w:rPr>
          <w:rFonts w:ascii="Times New Roman" w:eastAsia="Times New Roman" w:hAnsi="Times New Roman" w:cs="Times New Roman"/>
          <w:sz w:val="24"/>
          <w:szCs w:val="24"/>
        </w:rPr>
        <w:t xml:space="preserve"> presently fall under this required disclosure policy.</w:t>
      </w:r>
    </w:p>
    <w:p w14:paraId="7003D757"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68BE5" w14:textId="6F32E389" w:rsidR="00CA133C" w:rsidRPr="00C323FC" w:rsidRDefault="00C323FC" w:rsidP="00620ECB">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sidRPr="00C323FC">
        <w:rPr>
          <w:rFonts w:ascii="Times New Roman" w:eastAsia="Times New Roman" w:hAnsi="Times New Roman" w:cs="Times New Roman"/>
          <w:sz w:val="24"/>
          <w:szCs w:val="24"/>
        </w:rPr>
        <w:t xml:space="preserve">Disclosure by the Investment Adviser within five (5) business days of any material changes in the portfolio manager and of any change in ownership other than the ownership interests of employees of the Investment Adviser or within ten (10) business days of any legal actions instituted against the Investment Adviser, its parent entity, any entity that owns a controlling interest in the Investment Adviser, or any subsidiary of the Investment Adviser </w:t>
      </w:r>
      <w:r w:rsidRPr="00C323FC">
        <w:rPr>
          <w:rFonts w:ascii="Times New Roman" w:eastAsia="Times New Roman" w:hAnsi="Times New Roman" w:cs="Times New Roman"/>
          <w:sz w:val="24"/>
          <w:szCs w:val="24"/>
        </w:rPr>
        <w:lastRenderedPageBreak/>
        <w:t>involving the investment of securities for institutional investors or of any investigations, examinations, or other proceedings commenced by any governmental regulatory agency including those that would be reportable in the disciplinary questions of Investment Advisers’ next ADV filing with the SEC, which are not either conducted in the ordinary course of Investment Adviser’s, its parent’s, controlling entity’s, or Investment Manager’s subsidiaries’ business or conducted as  part of an industry sweep or other general fact-finding related inquiry.</w:t>
      </w:r>
    </w:p>
    <w:p w14:paraId="10D1ABDE" w14:textId="77777777" w:rsidR="00C323FC" w:rsidRPr="00C323FC" w:rsidRDefault="00C323FC" w:rsidP="00C323FC">
      <w:pPr>
        <w:pStyle w:val="ListParagraph"/>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D5AD0" w14:textId="67412444" w:rsidR="00C323FC" w:rsidRPr="00C323FC" w:rsidRDefault="00F02DC0" w:rsidP="00F02DC0">
      <w:pPr>
        <w:pStyle w:val="ListParagraph"/>
        <w:numPr>
          <w:ilvl w:val="0"/>
          <w:numId w:val="1"/>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Provide an employee diversity table by completing the attached Excel file.</w:t>
      </w:r>
    </w:p>
    <w:sectPr w:rsidR="00C323FC" w:rsidRPr="00C32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5264" w14:textId="77777777" w:rsidR="00AC3CD2" w:rsidRDefault="00AC3CD2" w:rsidP="00AC3CD2">
      <w:pPr>
        <w:spacing w:after="0" w:line="240" w:lineRule="auto"/>
      </w:pPr>
      <w:r>
        <w:separator/>
      </w:r>
    </w:p>
  </w:endnote>
  <w:endnote w:type="continuationSeparator" w:id="0">
    <w:p w14:paraId="60B4832F" w14:textId="77777777" w:rsidR="00AC3CD2" w:rsidRDefault="00AC3CD2" w:rsidP="00AC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B375" w14:textId="77777777" w:rsidR="00AC3CD2" w:rsidRDefault="00AC3CD2" w:rsidP="00AC3CD2">
      <w:pPr>
        <w:spacing w:after="0" w:line="240" w:lineRule="auto"/>
      </w:pPr>
      <w:r>
        <w:separator/>
      </w:r>
    </w:p>
  </w:footnote>
  <w:footnote w:type="continuationSeparator" w:id="0">
    <w:p w14:paraId="53A07116" w14:textId="77777777" w:rsidR="00AC3CD2" w:rsidRDefault="00AC3CD2" w:rsidP="00AC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17"/>
    <w:multiLevelType w:val="hybridMultilevel"/>
    <w:tmpl w:val="4502C50C"/>
    <w:lvl w:ilvl="0" w:tplc="0409000F">
      <w:start w:val="1"/>
      <w:numFmt w:val="decimal"/>
      <w:lvlText w:val="%1."/>
      <w:lvlJc w:val="left"/>
      <w:pPr>
        <w:ind w:left="820" w:hanging="720"/>
      </w:pPr>
      <w:rPr>
        <w:rFonts w:cs="Times New Roman" w:hint="default"/>
        <w:spacing w:val="-4"/>
        <w:w w:val="110"/>
        <w:sz w:val="20"/>
        <w:szCs w:val="20"/>
      </w:rPr>
    </w:lvl>
    <w:lvl w:ilvl="1" w:tplc="9E5CD280">
      <w:start w:val="1"/>
      <w:numFmt w:val="lowerLetter"/>
      <w:lvlText w:val="%2)"/>
      <w:lvlJc w:val="left"/>
      <w:pPr>
        <w:ind w:left="820" w:hanging="360"/>
      </w:pPr>
      <w:rPr>
        <w:rFonts w:ascii="Times New Roman" w:eastAsia="Times New Roman" w:hAnsi="Times New Roman" w:hint="default"/>
        <w:w w:val="113"/>
        <w:sz w:val="20"/>
        <w:szCs w:val="20"/>
      </w:rPr>
    </w:lvl>
    <w:lvl w:ilvl="2" w:tplc="124C2A58">
      <w:start w:val="1"/>
      <w:numFmt w:val="bullet"/>
      <w:lvlText w:val="•"/>
      <w:lvlJc w:val="left"/>
      <w:pPr>
        <w:ind w:left="2568" w:hanging="360"/>
      </w:pPr>
      <w:rPr>
        <w:rFonts w:hint="default"/>
      </w:rPr>
    </w:lvl>
    <w:lvl w:ilvl="3" w:tplc="E4786648">
      <w:start w:val="1"/>
      <w:numFmt w:val="bullet"/>
      <w:lvlText w:val="•"/>
      <w:lvlJc w:val="left"/>
      <w:pPr>
        <w:ind w:left="3442" w:hanging="360"/>
      </w:pPr>
      <w:rPr>
        <w:rFonts w:hint="default"/>
      </w:rPr>
    </w:lvl>
    <w:lvl w:ilvl="4" w:tplc="6FB4D448">
      <w:start w:val="1"/>
      <w:numFmt w:val="bullet"/>
      <w:lvlText w:val="•"/>
      <w:lvlJc w:val="left"/>
      <w:pPr>
        <w:ind w:left="4316" w:hanging="360"/>
      </w:pPr>
      <w:rPr>
        <w:rFonts w:hint="default"/>
      </w:rPr>
    </w:lvl>
    <w:lvl w:ilvl="5" w:tplc="72361CF0">
      <w:start w:val="1"/>
      <w:numFmt w:val="bullet"/>
      <w:lvlText w:val="•"/>
      <w:lvlJc w:val="left"/>
      <w:pPr>
        <w:ind w:left="5190" w:hanging="360"/>
      </w:pPr>
      <w:rPr>
        <w:rFonts w:hint="default"/>
      </w:rPr>
    </w:lvl>
    <w:lvl w:ilvl="6" w:tplc="7A1ACDC4">
      <w:start w:val="1"/>
      <w:numFmt w:val="bullet"/>
      <w:lvlText w:val="•"/>
      <w:lvlJc w:val="left"/>
      <w:pPr>
        <w:ind w:left="6064" w:hanging="360"/>
      </w:pPr>
      <w:rPr>
        <w:rFonts w:hint="default"/>
      </w:rPr>
    </w:lvl>
    <w:lvl w:ilvl="7" w:tplc="95EE677A">
      <w:start w:val="1"/>
      <w:numFmt w:val="bullet"/>
      <w:lvlText w:val="•"/>
      <w:lvlJc w:val="left"/>
      <w:pPr>
        <w:ind w:left="6938" w:hanging="360"/>
      </w:pPr>
      <w:rPr>
        <w:rFonts w:hint="default"/>
      </w:rPr>
    </w:lvl>
    <w:lvl w:ilvl="8" w:tplc="4C80327A">
      <w:start w:val="1"/>
      <w:numFmt w:val="bullet"/>
      <w:lvlText w:val="•"/>
      <w:lvlJc w:val="left"/>
      <w:pPr>
        <w:ind w:left="7812" w:hanging="360"/>
      </w:pPr>
      <w:rPr>
        <w:rFonts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3E8C"/>
    <w:multiLevelType w:val="hybridMultilevel"/>
    <w:tmpl w:val="1C182AA4"/>
    <w:lvl w:ilvl="0" w:tplc="07B859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7B661A"/>
    <w:multiLevelType w:val="hybridMultilevel"/>
    <w:tmpl w:val="C7185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D4940"/>
    <w:multiLevelType w:val="hybridMultilevel"/>
    <w:tmpl w:val="C3808F94"/>
    <w:lvl w:ilvl="0" w:tplc="8D267A84">
      <w:start w:val="1"/>
      <w:numFmt w:val="lowerLetter"/>
      <w:lvlText w:val="(%1)"/>
      <w:lvlJc w:val="left"/>
      <w:pPr>
        <w:ind w:left="1180" w:hanging="360"/>
      </w:pPr>
      <w:rPr>
        <w:rFonts w:ascii="Times New Roman" w:eastAsia="Times New Roman" w:hAnsi="Times New Roman" w:hint="default"/>
        <w:w w:val="89"/>
        <w:sz w:val="20"/>
        <w:szCs w:val="20"/>
      </w:rPr>
    </w:lvl>
    <w:lvl w:ilvl="1" w:tplc="76EA6432">
      <w:start w:val="1"/>
      <w:numFmt w:val="bullet"/>
      <w:lvlText w:val="•"/>
      <w:lvlJc w:val="left"/>
      <w:pPr>
        <w:ind w:left="2018" w:hanging="360"/>
      </w:pPr>
      <w:rPr>
        <w:rFonts w:hint="default"/>
      </w:rPr>
    </w:lvl>
    <w:lvl w:ilvl="2" w:tplc="52863D74">
      <w:start w:val="1"/>
      <w:numFmt w:val="bullet"/>
      <w:lvlText w:val="•"/>
      <w:lvlJc w:val="left"/>
      <w:pPr>
        <w:ind w:left="2856" w:hanging="360"/>
      </w:pPr>
      <w:rPr>
        <w:rFonts w:hint="default"/>
      </w:rPr>
    </w:lvl>
    <w:lvl w:ilvl="3" w:tplc="F9CE0186">
      <w:start w:val="1"/>
      <w:numFmt w:val="bullet"/>
      <w:lvlText w:val="•"/>
      <w:lvlJc w:val="left"/>
      <w:pPr>
        <w:ind w:left="3694" w:hanging="360"/>
      </w:pPr>
      <w:rPr>
        <w:rFonts w:hint="default"/>
      </w:rPr>
    </w:lvl>
    <w:lvl w:ilvl="4" w:tplc="AECEA2C2">
      <w:start w:val="1"/>
      <w:numFmt w:val="bullet"/>
      <w:lvlText w:val="•"/>
      <w:lvlJc w:val="left"/>
      <w:pPr>
        <w:ind w:left="4532" w:hanging="360"/>
      </w:pPr>
      <w:rPr>
        <w:rFonts w:hint="default"/>
      </w:rPr>
    </w:lvl>
    <w:lvl w:ilvl="5" w:tplc="6CCC39E2">
      <w:start w:val="1"/>
      <w:numFmt w:val="bullet"/>
      <w:lvlText w:val="•"/>
      <w:lvlJc w:val="left"/>
      <w:pPr>
        <w:ind w:left="5370" w:hanging="360"/>
      </w:pPr>
      <w:rPr>
        <w:rFonts w:hint="default"/>
      </w:rPr>
    </w:lvl>
    <w:lvl w:ilvl="6" w:tplc="1BAAC56E">
      <w:start w:val="1"/>
      <w:numFmt w:val="bullet"/>
      <w:lvlText w:val="•"/>
      <w:lvlJc w:val="left"/>
      <w:pPr>
        <w:ind w:left="6208" w:hanging="360"/>
      </w:pPr>
      <w:rPr>
        <w:rFonts w:hint="default"/>
      </w:rPr>
    </w:lvl>
    <w:lvl w:ilvl="7" w:tplc="B7A4BD78">
      <w:start w:val="1"/>
      <w:numFmt w:val="bullet"/>
      <w:lvlText w:val="•"/>
      <w:lvlJc w:val="left"/>
      <w:pPr>
        <w:ind w:left="7046" w:hanging="360"/>
      </w:pPr>
      <w:rPr>
        <w:rFonts w:hint="default"/>
      </w:rPr>
    </w:lvl>
    <w:lvl w:ilvl="8" w:tplc="5E86D342">
      <w:start w:val="1"/>
      <w:numFmt w:val="bullet"/>
      <w:lvlText w:val="•"/>
      <w:lvlJc w:val="left"/>
      <w:pPr>
        <w:ind w:left="7884" w:hanging="360"/>
      </w:pPr>
      <w:rPr>
        <w:rFonts w:hint="default"/>
      </w:rPr>
    </w:lvl>
  </w:abstractNum>
  <w:num w:numId="1">
    <w:abstractNumId w:val="1"/>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17"/>
    <w:rsid w:val="00197029"/>
    <w:rsid w:val="002703DE"/>
    <w:rsid w:val="002C2E45"/>
    <w:rsid w:val="003B405E"/>
    <w:rsid w:val="005B71DF"/>
    <w:rsid w:val="00620ECB"/>
    <w:rsid w:val="008B07F3"/>
    <w:rsid w:val="009668CC"/>
    <w:rsid w:val="00AA55E3"/>
    <w:rsid w:val="00AC3717"/>
    <w:rsid w:val="00AC3CD2"/>
    <w:rsid w:val="00B44424"/>
    <w:rsid w:val="00C2153E"/>
    <w:rsid w:val="00C323FC"/>
    <w:rsid w:val="00C4440F"/>
    <w:rsid w:val="00C774C6"/>
    <w:rsid w:val="00CA133C"/>
    <w:rsid w:val="00CE089A"/>
    <w:rsid w:val="00F02DC0"/>
    <w:rsid w:val="00F8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54E"/>
  <w15:chartTrackingRefBased/>
  <w15:docId w15:val="{C4A8E9A4-962B-4DC2-BA74-EBA569E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384"/>
    <w:pPr>
      <w:widowControl w:val="0"/>
      <w:spacing w:after="0" w:line="240" w:lineRule="auto"/>
      <w:ind w:left="160"/>
      <w:outlineLvl w:val="0"/>
    </w:pPr>
    <w:rPr>
      <w:rFonts w:ascii="Calibri" w:eastAsia="Calibri" w:hAnsi="Calibri"/>
      <w:b/>
      <w:bCs/>
      <w:sz w:val="32"/>
      <w:szCs w:val="32"/>
    </w:rPr>
  </w:style>
  <w:style w:type="paragraph" w:styleId="Heading2">
    <w:name w:val="heading 2"/>
    <w:basedOn w:val="Normal"/>
    <w:link w:val="Heading2Char"/>
    <w:uiPriority w:val="9"/>
    <w:unhideWhenUsed/>
    <w:qFormat/>
    <w:rsid w:val="00F83384"/>
    <w:pPr>
      <w:widowControl w:val="0"/>
      <w:spacing w:after="0" w:line="240" w:lineRule="auto"/>
      <w:ind w:left="120"/>
      <w:outlineLvl w:val="1"/>
    </w:pPr>
    <w:rPr>
      <w:rFonts w:ascii="Calibri" w:eastAsia="Calibri" w:hAnsi="Calibri"/>
      <w:b/>
      <w:bCs/>
      <w:sz w:val="28"/>
      <w:szCs w:val="28"/>
    </w:rPr>
  </w:style>
  <w:style w:type="paragraph" w:styleId="Heading3">
    <w:name w:val="heading 3"/>
    <w:basedOn w:val="Normal"/>
    <w:link w:val="Heading3Char"/>
    <w:uiPriority w:val="9"/>
    <w:semiHidden/>
    <w:unhideWhenUsed/>
    <w:qFormat/>
    <w:rsid w:val="00F83384"/>
    <w:pPr>
      <w:widowControl w:val="0"/>
      <w:spacing w:after="0" w:line="240" w:lineRule="auto"/>
      <w:ind w:left="25"/>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0F"/>
    <w:pPr>
      <w:ind w:left="720"/>
      <w:contextualSpacing/>
    </w:pPr>
  </w:style>
  <w:style w:type="character" w:styleId="HTMLCode">
    <w:name w:val="HTML Code"/>
    <w:basedOn w:val="DefaultParagraphFont"/>
    <w:uiPriority w:val="99"/>
    <w:unhideWhenUsed/>
    <w:rsid w:val="00C444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83384"/>
    <w:rPr>
      <w:rFonts w:ascii="Calibri" w:eastAsia="Calibri" w:hAnsi="Calibri"/>
      <w:b/>
      <w:bCs/>
      <w:sz w:val="32"/>
      <w:szCs w:val="32"/>
    </w:rPr>
  </w:style>
  <w:style w:type="character" w:customStyle="1" w:styleId="Heading2Char">
    <w:name w:val="Heading 2 Char"/>
    <w:basedOn w:val="DefaultParagraphFont"/>
    <w:link w:val="Heading2"/>
    <w:uiPriority w:val="9"/>
    <w:rsid w:val="00F83384"/>
    <w:rPr>
      <w:rFonts w:ascii="Calibri" w:eastAsia="Calibri" w:hAnsi="Calibri"/>
      <w:b/>
      <w:bCs/>
      <w:sz w:val="28"/>
      <w:szCs w:val="28"/>
    </w:rPr>
  </w:style>
  <w:style w:type="character" w:customStyle="1" w:styleId="Heading3Char">
    <w:name w:val="Heading 3 Char"/>
    <w:basedOn w:val="DefaultParagraphFont"/>
    <w:link w:val="Heading3"/>
    <w:uiPriority w:val="9"/>
    <w:semiHidden/>
    <w:rsid w:val="00F83384"/>
    <w:rPr>
      <w:rFonts w:ascii="Times New Roman" w:eastAsia="Times New Roman" w:hAnsi="Times New Roman"/>
      <w:b/>
      <w:bCs/>
      <w:sz w:val="24"/>
      <w:szCs w:val="24"/>
    </w:rPr>
  </w:style>
  <w:style w:type="paragraph" w:styleId="BodyText">
    <w:name w:val="Body Text"/>
    <w:basedOn w:val="Normal"/>
    <w:link w:val="BodyTextChar"/>
    <w:uiPriority w:val="1"/>
    <w:qFormat/>
    <w:rsid w:val="00F83384"/>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F83384"/>
    <w:rPr>
      <w:rFonts w:ascii="Calibri" w:eastAsia="Calibri" w:hAnsi="Calibri"/>
    </w:rPr>
  </w:style>
  <w:style w:type="paragraph" w:customStyle="1" w:styleId="TableParagraph">
    <w:name w:val="Table Paragraph"/>
    <w:basedOn w:val="Normal"/>
    <w:uiPriority w:val="1"/>
    <w:qFormat/>
    <w:rsid w:val="00F83384"/>
    <w:pPr>
      <w:widowControl w:val="0"/>
      <w:spacing w:after="0" w:line="240" w:lineRule="auto"/>
    </w:pPr>
  </w:style>
  <w:style w:type="character" w:styleId="CommentReference">
    <w:name w:val="annotation reference"/>
    <w:basedOn w:val="DefaultParagraphFont"/>
    <w:uiPriority w:val="99"/>
    <w:semiHidden/>
    <w:unhideWhenUsed/>
    <w:rsid w:val="00F83384"/>
    <w:rPr>
      <w:sz w:val="16"/>
      <w:szCs w:val="16"/>
    </w:rPr>
  </w:style>
  <w:style w:type="paragraph" w:styleId="CommentText">
    <w:name w:val="annotation text"/>
    <w:basedOn w:val="Normal"/>
    <w:link w:val="CommentTextChar"/>
    <w:uiPriority w:val="99"/>
    <w:unhideWhenUsed/>
    <w:rsid w:val="00F8338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83384"/>
    <w:rPr>
      <w:sz w:val="20"/>
      <w:szCs w:val="20"/>
    </w:rPr>
  </w:style>
  <w:style w:type="paragraph" w:styleId="CommentSubject">
    <w:name w:val="annotation subject"/>
    <w:basedOn w:val="CommentText"/>
    <w:next w:val="CommentText"/>
    <w:link w:val="CommentSubjectChar"/>
    <w:uiPriority w:val="99"/>
    <w:semiHidden/>
    <w:unhideWhenUsed/>
    <w:rsid w:val="00F83384"/>
    <w:rPr>
      <w:b/>
      <w:bCs/>
    </w:rPr>
  </w:style>
  <w:style w:type="character" w:customStyle="1" w:styleId="CommentSubjectChar">
    <w:name w:val="Comment Subject Char"/>
    <w:basedOn w:val="CommentTextChar"/>
    <w:link w:val="CommentSubject"/>
    <w:uiPriority w:val="99"/>
    <w:semiHidden/>
    <w:rsid w:val="00F83384"/>
    <w:rPr>
      <w:b/>
      <w:bCs/>
      <w:sz w:val="20"/>
      <w:szCs w:val="20"/>
    </w:rPr>
  </w:style>
  <w:style w:type="paragraph" w:styleId="Revision">
    <w:name w:val="Revision"/>
    <w:hidden/>
    <w:uiPriority w:val="99"/>
    <w:semiHidden/>
    <w:rsid w:val="00F83384"/>
    <w:pPr>
      <w:spacing w:after="0" w:line="240" w:lineRule="auto"/>
    </w:pPr>
  </w:style>
  <w:style w:type="paragraph" w:styleId="Header">
    <w:name w:val="header"/>
    <w:basedOn w:val="Normal"/>
    <w:link w:val="HeaderChar"/>
    <w:uiPriority w:val="99"/>
    <w:unhideWhenUsed/>
    <w:rsid w:val="00F83384"/>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83384"/>
  </w:style>
  <w:style w:type="paragraph" w:styleId="Footer">
    <w:name w:val="footer"/>
    <w:basedOn w:val="Normal"/>
    <w:link w:val="FooterChar"/>
    <w:uiPriority w:val="99"/>
    <w:unhideWhenUsed/>
    <w:rsid w:val="00F8338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83384"/>
  </w:style>
  <w:style w:type="table" w:styleId="GridTable1Light-Accent1">
    <w:name w:val="Grid Table 1 Light Accent 1"/>
    <w:basedOn w:val="TableNormal"/>
    <w:uiPriority w:val="46"/>
    <w:rsid w:val="00F83384"/>
    <w:pPr>
      <w:widowControl w:val="0"/>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83384"/>
    <w:pPr>
      <w:widowControl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8338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8338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83384"/>
    <w:rPr>
      <w:color w:val="0563C1" w:themeColor="hyperlink"/>
      <w:u w:val="single"/>
    </w:rPr>
  </w:style>
  <w:style w:type="character" w:styleId="UnresolvedMention">
    <w:name w:val="Unresolved Mention"/>
    <w:basedOn w:val="DefaultParagraphFont"/>
    <w:uiPriority w:val="99"/>
    <w:semiHidden/>
    <w:unhideWhenUsed/>
    <w:rsid w:val="00F83384"/>
    <w:rPr>
      <w:color w:val="605E5C"/>
      <w:shd w:val="clear" w:color="auto" w:fill="E1DFDD"/>
    </w:rPr>
  </w:style>
  <w:style w:type="character" w:styleId="FollowedHyperlink">
    <w:name w:val="FollowedHyperlink"/>
    <w:basedOn w:val="DefaultParagraphFont"/>
    <w:uiPriority w:val="99"/>
    <w:semiHidden/>
    <w:unhideWhenUsed/>
    <w:rsid w:val="00F83384"/>
    <w:rPr>
      <w:color w:val="954F72" w:themeColor="followedHyperlink"/>
      <w:u w:val="single"/>
    </w:rPr>
  </w:style>
  <w:style w:type="paragraph" w:customStyle="1" w:styleId="msonormal0">
    <w:name w:val="msonormal"/>
    <w:basedOn w:val="Normal"/>
    <w:rsid w:val="00F833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283">
      <w:bodyDiv w:val="1"/>
      <w:marLeft w:val="0"/>
      <w:marRight w:val="0"/>
      <w:marTop w:val="0"/>
      <w:marBottom w:val="0"/>
      <w:divBdr>
        <w:top w:val="none" w:sz="0" w:space="0" w:color="auto"/>
        <w:left w:val="none" w:sz="0" w:space="0" w:color="auto"/>
        <w:bottom w:val="none" w:sz="0" w:space="0" w:color="auto"/>
        <w:right w:val="none" w:sz="0" w:space="0" w:color="auto"/>
      </w:divBdr>
    </w:div>
    <w:div w:id="535198274">
      <w:bodyDiv w:val="1"/>
      <w:marLeft w:val="0"/>
      <w:marRight w:val="0"/>
      <w:marTop w:val="0"/>
      <w:marBottom w:val="0"/>
      <w:divBdr>
        <w:top w:val="none" w:sz="0" w:space="0" w:color="auto"/>
        <w:left w:val="none" w:sz="0" w:space="0" w:color="auto"/>
        <w:bottom w:val="none" w:sz="0" w:space="0" w:color="auto"/>
        <w:right w:val="none" w:sz="0" w:space="0" w:color="auto"/>
      </w:divBdr>
    </w:div>
    <w:div w:id="1796630517">
      <w:bodyDiv w:val="1"/>
      <w:marLeft w:val="0"/>
      <w:marRight w:val="0"/>
      <w:marTop w:val="0"/>
      <w:marBottom w:val="0"/>
      <w:divBdr>
        <w:top w:val="none" w:sz="0" w:space="0" w:color="auto"/>
        <w:left w:val="none" w:sz="0" w:space="0" w:color="auto"/>
        <w:bottom w:val="none" w:sz="0" w:space="0" w:color="auto"/>
        <w:right w:val="none" w:sz="0" w:space="0" w:color="auto"/>
      </w:divBdr>
    </w:div>
    <w:div w:id="18410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Muzzy</dc:creator>
  <cp:keywords/>
  <dc:description/>
  <cp:lastModifiedBy>Taylor Muzzy</cp:lastModifiedBy>
  <cp:revision>9</cp:revision>
  <dcterms:created xsi:type="dcterms:W3CDTF">2021-07-19T12:15:00Z</dcterms:created>
  <dcterms:modified xsi:type="dcterms:W3CDTF">2021-07-27T15:12:00Z</dcterms:modified>
</cp:coreProperties>
</file>